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3204"/>
        <w:gridCol w:w="6212"/>
      </w:tblGrid>
      <w:tr w:rsidR="00091285" w:rsidRPr="00E1388F" w14:paraId="31D6CD34" w14:textId="77777777" w:rsidTr="0045331D">
        <w:trPr>
          <w:trHeight w:val="397"/>
          <w:tblCellSpacing w:w="20" w:type="dxa"/>
        </w:trPr>
        <w:tc>
          <w:tcPr>
            <w:tcW w:w="3114" w:type="dxa"/>
            <w:shd w:val="clear" w:color="auto" w:fill="BFBFBF" w:themeFill="background1" w:themeFillShade="BF"/>
            <w:noWrap/>
            <w:vAlign w:val="center"/>
            <w:hideMark/>
          </w:tcPr>
          <w:p w14:paraId="73C7FAE7" w14:textId="087C0D5F" w:rsidR="00091285" w:rsidRPr="00AA45DE" w:rsidRDefault="00091285" w:rsidP="0045331D">
            <w:pPr>
              <w:spacing w:after="0" w:line="240" w:lineRule="auto"/>
              <w:rPr>
                <w:rFonts w:eastAsia="Times New Roman"/>
                <w:b/>
                <w:bCs/>
                <w:color w:val="000000" w:themeColor="text1"/>
                <w:sz w:val="24"/>
                <w:szCs w:val="24"/>
                <w:lang w:eastAsia="es-MX"/>
              </w:rPr>
            </w:pPr>
            <w:bookmarkStart w:id="0" w:name="_GoBack"/>
            <w:bookmarkEnd w:id="0"/>
            <w:r w:rsidRPr="00AA45DE">
              <w:rPr>
                <w:rFonts w:eastAsia="Times New Roman"/>
                <w:b/>
                <w:bCs/>
                <w:color w:val="000000" w:themeColor="text1"/>
                <w:sz w:val="24"/>
                <w:szCs w:val="24"/>
                <w:lang w:eastAsia="es-MX"/>
              </w:rPr>
              <w:t>Nombre del programa:</w:t>
            </w:r>
          </w:p>
        </w:tc>
        <w:tc>
          <w:tcPr>
            <w:tcW w:w="6182" w:type="dxa"/>
            <w:shd w:val="clear" w:color="auto" w:fill="BFBFBF" w:themeFill="background1" w:themeFillShade="BF"/>
            <w:vAlign w:val="center"/>
          </w:tcPr>
          <w:p w14:paraId="00ED7CBB" w14:textId="215AC10F" w:rsidR="00091285" w:rsidRPr="00AA45DE" w:rsidRDefault="00FF53D9" w:rsidP="0045331D">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Vacunación Universal</w:t>
            </w:r>
          </w:p>
        </w:tc>
      </w:tr>
      <w:tr w:rsidR="00091285" w:rsidRPr="00E1388F" w14:paraId="6F6202EB" w14:textId="77777777" w:rsidTr="0045331D">
        <w:trPr>
          <w:trHeight w:val="397"/>
          <w:tblCellSpacing w:w="20" w:type="dxa"/>
        </w:trPr>
        <w:tc>
          <w:tcPr>
            <w:tcW w:w="3114" w:type="dxa"/>
            <w:shd w:val="clear" w:color="auto" w:fill="BFBFBF" w:themeFill="background1" w:themeFillShade="BF"/>
            <w:noWrap/>
            <w:vAlign w:val="center"/>
          </w:tcPr>
          <w:p w14:paraId="238432D7" w14:textId="431A00F3" w:rsidR="00091285" w:rsidRPr="00AA45DE" w:rsidRDefault="00091285" w:rsidP="0045331D">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Dependencia/entidad:</w:t>
            </w:r>
          </w:p>
        </w:tc>
        <w:tc>
          <w:tcPr>
            <w:tcW w:w="6182" w:type="dxa"/>
            <w:shd w:val="clear" w:color="auto" w:fill="BFBFBF" w:themeFill="background1" w:themeFillShade="BF"/>
            <w:vAlign w:val="center"/>
          </w:tcPr>
          <w:p w14:paraId="219F17D5" w14:textId="70FAAA83" w:rsidR="00091285" w:rsidRPr="00AA45DE" w:rsidRDefault="00771945" w:rsidP="0045331D">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Servicios de Salud de Sinaloa</w:t>
            </w:r>
          </w:p>
        </w:tc>
      </w:tr>
      <w:tr w:rsidR="002E2401" w:rsidRPr="00E1388F" w14:paraId="180EC860" w14:textId="77777777" w:rsidTr="00D058B0">
        <w:trPr>
          <w:trHeight w:val="567"/>
          <w:tblCellSpacing w:w="20" w:type="dxa"/>
        </w:trPr>
        <w:tc>
          <w:tcPr>
            <w:tcW w:w="3114" w:type="dxa"/>
            <w:shd w:val="clear" w:color="auto" w:fill="BFBFBF" w:themeFill="background1" w:themeFillShade="BF"/>
            <w:noWrap/>
            <w:vAlign w:val="center"/>
          </w:tcPr>
          <w:p w14:paraId="50DFFD48" w14:textId="5873994E" w:rsidR="002E2401" w:rsidRPr="00AA45DE" w:rsidRDefault="002E2401" w:rsidP="0045331D">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Unidad responsable del programa:</w:t>
            </w:r>
          </w:p>
        </w:tc>
        <w:tc>
          <w:tcPr>
            <w:tcW w:w="6182" w:type="dxa"/>
            <w:shd w:val="clear" w:color="auto" w:fill="BFBFBF" w:themeFill="background1" w:themeFillShade="BF"/>
            <w:vAlign w:val="center"/>
          </w:tcPr>
          <w:p w14:paraId="3C049D2E" w14:textId="79ED93DB" w:rsidR="002E2401" w:rsidRPr="00AA45DE" w:rsidRDefault="008368E6" w:rsidP="0045331D">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Dirección de Prevención y Promoción a la Salud</w:t>
            </w:r>
          </w:p>
        </w:tc>
      </w:tr>
      <w:tr w:rsidR="002E2401" w:rsidRPr="00E1388F" w14:paraId="08D13584" w14:textId="77777777" w:rsidTr="0045331D">
        <w:trPr>
          <w:trHeight w:val="394"/>
          <w:tblCellSpacing w:w="20" w:type="dxa"/>
        </w:trPr>
        <w:tc>
          <w:tcPr>
            <w:tcW w:w="3114" w:type="dxa"/>
            <w:shd w:val="clear" w:color="auto" w:fill="BFBFBF" w:themeFill="background1" w:themeFillShade="BF"/>
            <w:noWrap/>
            <w:vAlign w:val="center"/>
          </w:tcPr>
          <w:p w14:paraId="13DBBB96" w14:textId="0790F9A8" w:rsidR="002E2401" w:rsidRPr="00AA45DE" w:rsidRDefault="002E2401" w:rsidP="0045331D">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Tipo de evaluación:</w:t>
            </w:r>
          </w:p>
        </w:tc>
        <w:tc>
          <w:tcPr>
            <w:tcW w:w="6182" w:type="dxa"/>
            <w:shd w:val="clear" w:color="auto" w:fill="BFBFBF" w:themeFill="background1" w:themeFillShade="BF"/>
            <w:vAlign w:val="center"/>
          </w:tcPr>
          <w:p w14:paraId="6FB834DF" w14:textId="47D24B35" w:rsidR="002E2401" w:rsidRPr="00AA45DE" w:rsidRDefault="002E2401" w:rsidP="0045331D">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Evaluación Específica de Desempeño</w:t>
            </w:r>
          </w:p>
        </w:tc>
      </w:tr>
      <w:tr w:rsidR="002E2401" w:rsidRPr="00E1388F" w14:paraId="0AAD0A04" w14:textId="77777777" w:rsidTr="0045331D">
        <w:trPr>
          <w:trHeight w:val="397"/>
          <w:tblCellSpacing w:w="20" w:type="dxa"/>
        </w:trPr>
        <w:tc>
          <w:tcPr>
            <w:tcW w:w="3114" w:type="dxa"/>
            <w:shd w:val="clear" w:color="auto" w:fill="BFBFBF" w:themeFill="background1" w:themeFillShade="BF"/>
            <w:noWrap/>
            <w:vAlign w:val="center"/>
          </w:tcPr>
          <w:p w14:paraId="7B3C4A1F" w14:textId="16F0DC64" w:rsidR="002E2401" w:rsidRPr="00AA45DE" w:rsidRDefault="002E2401" w:rsidP="0045331D">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Año de evaluación:</w:t>
            </w:r>
          </w:p>
        </w:tc>
        <w:tc>
          <w:tcPr>
            <w:tcW w:w="6182" w:type="dxa"/>
            <w:shd w:val="clear" w:color="auto" w:fill="BFBFBF" w:themeFill="background1" w:themeFillShade="BF"/>
            <w:vAlign w:val="center"/>
          </w:tcPr>
          <w:p w14:paraId="52F48C09" w14:textId="57A582C5" w:rsidR="002E2401" w:rsidRPr="00AA45DE" w:rsidRDefault="002E2401" w:rsidP="0045331D">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201</w:t>
            </w:r>
            <w:r>
              <w:rPr>
                <w:rFonts w:eastAsia="Times New Roman"/>
                <w:b/>
                <w:bCs/>
                <w:color w:val="000000" w:themeColor="text1"/>
                <w:sz w:val="24"/>
                <w:szCs w:val="24"/>
                <w:lang w:eastAsia="es-MX"/>
              </w:rPr>
              <w:t>9</w:t>
            </w:r>
          </w:p>
        </w:tc>
      </w:tr>
    </w:tbl>
    <w:p w14:paraId="4F9C8CEF" w14:textId="77777777" w:rsidR="0045331D" w:rsidRDefault="0045331D" w:rsidP="0045331D">
      <w:pPr>
        <w:spacing w:after="0"/>
      </w:pPr>
    </w:p>
    <w:p w14:paraId="2821D24A" w14:textId="77777777" w:rsidR="00B479EB" w:rsidRDefault="00B479EB" w:rsidP="0045331D">
      <w:pPr>
        <w:spacing w:after="0"/>
      </w:pPr>
    </w:p>
    <w:tbl>
      <w:tblPr>
        <w:tblW w:w="9473"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296"/>
        <w:gridCol w:w="74"/>
        <w:gridCol w:w="1648"/>
        <w:gridCol w:w="59"/>
        <w:gridCol w:w="2920"/>
        <w:gridCol w:w="51"/>
        <w:gridCol w:w="2425"/>
      </w:tblGrid>
      <w:tr w:rsidR="0045331D" w:rsidRPr="00E1388F" w14:paraId="0F5B205E" w14:textId="1B161493" w:rsidTr="0045331D">
        <w:trPr>
          <w:trHeight w:val="397"/>
          <w:tblHeader/>
          <w:tblCellSpacing w:w="20" w:type="dxa"/>
        </w:trPr>
        <w:tc>
          <w:tcPr>
            <w:tcW w:w="9393" w:type="dxa"/>
            <w:gridSpan w:val="7"/>
            <w:tcBorders>
              <w:right w:val="outset" w:sz="6" w:space="0" w:color="A0A0A0"/>
            </w:tcBorders>
            <w:shd w:val="clear" w:color="auto" w:fill="861D31"/>
            <w:noWrap/>
            <w:vAlign w:val="center"/>
          </w:tcPr>
          <w:p w14:paraId="392005FF" w14:textId="47C9CEF5" w:rsidR="0045331D" w:rsidRDefault="0045331D" w:rsidP="0045331D">
            <w:pPr>
              <w:pStyle w:val="Prrafodelista"/>
              <w:numPr>
                <w:ilvl w:val="0"/>
                <w:numId w:val="1"/>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Uso de las recomendaciones de la evaluación</w:t>
            </w:r>
          </w:p>
        </w:tc>
      </w:tr>
      <w:tr w:rsidR="00795792" w:rsidRPr="00E1388F" w14:paraId="03C06447" w14:textId="1C92E320" w:rsidTr="00B479EB">
        <w:trPr>
          <w:trHeight w:val="397"/>
          <w:tblHeader/>
          <w:tblCellSpacing w:w="20" w:type="dxa"/>
        </w:trPr>
        <w:tc>
          <w:tcPr>
            <w:tcW w:w="2215" w:type="dxa"/>
            <w:shd w:val="clear" w:color="auto" w:fill="861D31"/>
            <w:noWrap/>
            <w:vAlign w:val="center"/>
          </w:tcPr>
          <w:p w14:paraId="37744D25" w14:textId="421B277F" w:rsidR="0045331D" w:rsidRPr="0045331D" w:rsidRDefault="0045331D" w:rsidP="0045331D">
            <w:pPr>
              <w:spacing w:after="0" w:line="240" w:lineRule="auto"/>
              <w:jc w:val="center"/>
              <w:rPr>
                <w:rFonts w:eastAsia="Times New Roman"/>
                <w:b/>
                <w:bCs/>
                <w:color w:val="F2F2F2" w:themeColor="background1" w:themeShade="F2"/>
                <w:lang w:eastAsia="es-MX"/>
              </w:rPr>
            </w:pPr>
            <w:r>
              <w:rPr>
                <w:b/>
                <w:bCs/>
                <w:color w:val="F2F2F2" w:themeColor="background1" w:themeShade="F2"/>
              </w:rPr>
              <w:t>Sección</w:t>
            </w:r>
          </w:p>
        </w:tc>
        <w:tc>
          <w:tcPr>
            <w:tcW w:w="1687" w:type="dxa"/>
            <w:gridSpan w:val="2"/>
            <w:shd w:val="clear" w:color="auto" w:fill="861D31"/>
            <w:vAlign w:val="center"/>
          </w:tcPr>
          <w:p w14:paraId="2A26CDC8" w14:textId="26C709FB" w:rsidR="0045331D" w:rsidRPr="0045331D" w:rsidRDefault="0045331D" w:rsidP="0045331D">
            <w:pPr>
              <w:spacing w:after="0" w:line="240" w:lineRule="auto"/>
              <w:jc w:val="center"/>
              <w:rPr>
                <w:rFonts w:eastAsia="Times New Roman"/>
                <w:b/>
                <w:bCs/>
                <w:color w:val="F2F2F2" w:themeColor="background1" w:themeShade="F2"/>
                <w:lang w:eastAsia="es-MX"/>
              </w:rPr>
            </w:pPr>
            <w:r>
              <w:rPr>
                <w:b/>
                <w:bCs/>
                <w:color w:val="F2F2F2" w:themeColor="background1" w:themeShade="F2"/>
              </w:rPr>
              <w:t>Texto del Informe</w:t>
            </w:r>
          </w:p>
        </w:tc>
        <w:tc>
          <w:tcPr>
            <w:tcW w:w="2948" w:type="dxa"/>
            <w:gridSpan w:val="2"/>
            <w:shd w:val="clear" w:color="auto" w:fill="861D31"/>
            <w:vAlign w:val="center"/>
          </w:tcPr>
          <w:p w14:paraId="1F2D6736" w14:textId="3CD6A9AA" w:rsidR="0045331D" w:rsidRPr="0045331D" w:rsidRDefault="0045331D" w:rsidP="0045331D">
            <w:pPr>
              <w:spacing w:after="0" w:line="240" w:lineRule="auto"/>
              <w:jc w:val="center"/>
              <w:rPr>
                <w:rFonts w:eastAsia="Times New Roman"/>
                <w:b/>
                <w:bCs/>
                <w:color w:val="F2F2F2" w:themeColor="background1" w:themeShade="F2"/>
                <w:lang w:eastAsia="es-MX"/>
              </w:rPr>
            </w:pPr>
            <w:r>
              <w:rPr>
                <w:b/>
                <w:bCs/>
                <w:color w:val="F2F2F2" w:themeColor="background1" w:themeShade="F2"/>
              </w:rPr>
              <w:t>Punto de vista de la Dependencia o Entidad</w:t>
            </w:r>
          </w:p>
        </w:tc>
        <w:tc>
          <w:tcPr>
            <w:tcW w:w="2423" w:type="dxa"/>
            <w:gridSpan w:val="2"/>
            <w:shd w:val="clear" w:color="auto" w:fill="861D31"/>
            <w:vAlign w:val="center"/>
          </w:tcPr>
          <w:p w14:paraId="4A201426" w14:textId="1237C38A" w:rsidR="0045331D" w:rsidRPr="0045331D" w:rsidRDefault="0045331D" w:rsidP="0045331D">
            <w:pPr>
              <w:spacing w:after="0" w:line="240" w:lineRule="auto"/>
              <w:jc w:val="center"/>
              <w:rPr>
                <w:rFonts w:eastAsia="Times New Roman"/>
                <w:b/>
                <w:bCs/>
                <w:color w:val="F2F2F2" w:themeColor="background1" w:themeShade="F2"/>
                <w:lang w:eastAsia="es-MX"/>
              </w:rPr>
            </w:pPr>
            <w:r>
              <w:rPr>
                <w:b/>
                <w:bCs/>
                <w:color w:val="F2F2F2" w:themeColor="background1" w:themeShade="F2"/>
              </w:rPr>
              <w:t>Acción de mejora derivada de la evaluación</w:t>
            </w:r>
          </w:p>
        </w:tc>
      </w:tr>
      <w:tr w:rsidR="00B479EB" w:rsidRPr="00E1388F" w14:paraId="0F26C7A7" w14:textId="77777777" w:rsidTr="00B479EB">
        <w:trPr>
          <w:trHeight w:val="1474"/>
          <w:tblHeader/>
          <w:tblCellSpacing w:w="20" w:type="dxa"/>
        </w:trPr>
        <w:tc>
          <w:tcPr>
            <w:tcW w:w="2288" w:type="dxa"/>
            <w:gridSpan w:val="2"/>
            <w:shd w:val="clear" w:color="auto" w:fill="auto"/>
            <w:noWrap/>
            <w:vAlign w:val="center"/>
          </w:tcPr>
          <w:p w14:paraId="2354196C" w14:textId="321F931F" w:rsidR="00B479EB" w:rsidRDefault="00B479EB" w:rsidP="00D755D1">
            <w:pPr>
              <w:spacing w:after="0" w:line="240" w:lineRule="auto"/>
              <w:rPr>
                <w:b/>
                <w:bCs/>
                <w:color w:val="F2F2F2" w:themeColor="background1" w:themeShade="F2"/>
              </w:rPr>
            </w:pPr>
            <w:r w:rsidRPr="00771385">
              <w:rPr>
                <w:rFonts w:asciiTheme="minorHAnsi" w:hAnsiTheme="minorHAnsi"/>
              </w:rPr>
              <w:t xml:space="preserve">Informe / </w:t>
            </w:r>
            <w:r>
              <w:rPr>
                <w:rFonts w:asciiTheme="minorHAnsi" w:hAnsiTheme="minorHAnsi"/>
              </w:rPr>
              <w:t>Recomendaciones / 1</w:t>
            </w:r>
          </w:p>
        </w:tc>
        <w:tc>
          <w:tcPr>
            <w:tcW w:w="1672" w:type="dxa"/>
            <w:gridSpan w:val="2"/>
            <w:shd w:val="clear" w:color="auto" w:fill="auto"/>
            <w:vAlign w:val="center"/>
          </w:tcPr>
          <w:p w14:paraId="6C60117C" w14:textId="77777777" w:rsidR="00B479EB" w:rsidRDefault="00B479EB" w:rsidP="00D755D1">
            <w:pPr>
              <w:spacing w:after="0" w:line="240" w:lineRule="auto"/>
              <w:rPr>
                <w:b/>
                <w:bCs/>
                <w:color w:val="F2F2F2" w:themeColor="background1" w:themeShade="F2"/>
              </w:rPr>
            </w:pPr>
            <w:r w:rsidRPr="00D9674C">
              <w:rPr>
                <w:rFonts w:eastAsia="Times New Roman"/>
                <w:color w:val="000000"/>
                <w:lang w:eastAsia="es-MX"/>
              </w:rPr>
              <w:t>Fases intensivas para completar esquemas y fortalecer la vacunación permanente.</w:t>
            </w:r>
          </w:p>
        </w:tc>
        <w:tc>
          <w:tcPr>
            <w:tcW w:w="2940" w:type="dxa"/>
            <w:gridSpan w:val="2"/>
            <w:shd w:val="clear" w:color="auto" w:fill="auto"/>
            <w:vAlign w:val="center"/>
          </w:tcPr>
          <w:p w14:paraId="3C8BA64D" w14:textId="77777777" w:rsidR="00B479EB" w:rsidRPr="00176AE2" w:rsidRDefault="00B479EB" w:rsidP="00D755D1">
            <w:pPr>
              <w:spacing w:after="0" w:line="240" w:lineRule="auto"/>
              <w:rPr>
                <w:b/>
                <w:bCs/>
              </w:rPr>
            </w:pPr>
            <w:r>
              <w:t>Las acciones intensivas se desarrollan con la finalidad de romper la cadena de transmisión de los padecimientos que se desean evitar, así como elevar las tasas de cobertura de vacunación, en un período muy corto de tiempo los resultados han sido favorables a través de los años por lo que deben continuar.</w:t>
            </w:r>
          </w:p>
        </w:tc>
        <w:tc>
          <w:tcPr>
            <w:tcW w:w="2373" w:type="dxa"/>
            <w:shd w:val="clear" w:color="auto" w:fill="auto"/>
            <w:vAlign w:val="center"/>
          </w:tcPr>
          <w:p w14:paraId="5477B34F" w14:textId="77777777" w:rsidR="00B479EB" w:rsidRPr="00176AE2" w:rsidRDefault="00B479EB" w:rsidP="00D755D1">
            <w:pPr>
              <w:spacing w:after="0" w:line="240" w:lineRule="auto"/>
              <w:rPr>
                <w:bCs/>
              </w:rPr>
            </w:pPr>
            <w:r w:rsidRPr="00176AE2">
              <w:rPr>
                <w:bCs/>
              </w:rPr>
              <w:t>Dar cumplimiento a los lineamientos establecidos por nivel federal realizando las campañas de acuerdo a la calendarización y aplicar vacunas de manera permanente en las unidades de salud</w:t>
            </w:r>
            <w:r>
              <w:rPr>
                <w:bCs/>
              </w:rPr>
              <w:t>.</w:t>
            </w:r>
          </w:p>
        </w:tc>
      </w:tr>
    </w:tbl>
    <w:p w14:paraId="55F291F1" w14:textId="55D5A5E3" w:rsidR="00795792" w:rsidRDefault="00795792"/>
    <w:p w14:paraId="57D7F587" w14:textId="77777777" w:rsidR="00B479EB" w:rsidRDefault="00B479EB"/>
    <w:p w14:paraId="12F31151" w14:textId="77777777" w:rsidR="00B479EB" w:rsidRDefault="00B479EB"/>
    <w:p w14:paraId="11EC0FAB" w14:textId="77777777" w:rsidR="00B479EB" w:rsidRDefault="00B479EB"/>
    <w:p w14:paraId="0049DF6B" w14:textId="2D0CB934" w:rsidR="00795792" w:rsidRDefault="00795792"/>
    <w:p w14:paraId="5C29D59C" w14:textId="4BF4A21B" w:rsidR="00795792" w:rsidRDefault="00795792"/>
    <w:p w14:paraId="02FBB6E3" w14:textId="0DA3C41C" w:rsidR="00795792" w:rsidRDefault="00795792"/>
    <w:tbl>
      <w:tblPr>
        <w:tblW w:w="9473"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332"/>
        <w:gridCol w:w="49"/>
        <w:gridCol w:w="1660"/>
        <w:gridCol w:w="49"/>
        <w:gridCol w:w="3078"/>
        <w:gridCol w:w="2305"/>
      </w:tblGrid>
      <w:tr w:rsidR="009F6A31" w:rsidRPr="00E1388F" w14:paraId="2FB9DAD0" w14:textId="77777777" w:rsidTr="0058248E">
        <w:trPr>
          <w:trHeight w:val="397"/>
          <w:tblHeader/>
          <w:tblCellSpacing w:w="20" w:type="dxa"/>
        </w:trPr>
        <w:tc>
          <w:tcPr>
            <w:tcW w:w="9393" w:type="dxa"/>
            <w:gridSpan w:val="6"/>
            <w:tcBorders>
              <w:right w:val="outset" w:sz="6" w:space="0" w:color="A0A0A0"/>
            </w:tcBorders>
            <w:shd w:val="clear" w:color="auto" w:fill="861D31"/>
            <w:noWrap/>
            <w:vAlign w:val="center"/>
          </w:tcPr>
          <w:p w14:paraId="28430F97" w14:textId="77777777" w:rsidR="009F6A31" w:rsidRDefault="009F6A31" w:rsidP="009F6A31">
            <w:pPr>
              <w:pStyle w:val="Prrafodelista"/>
              <w:numPr>
                <w:ilvl w:val="0"/>
                <w:numId w:val="10"/>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lastRenderedPageBreak/>
              <w:t>Uso de las recomendaciones de la evaluación</w:t>
            </w:r>
          </w:p>
        </w:tc>
      </w:tr>
      <w:tr w:rsidR="009F6A31" w:rsidRPr="00E1388F" w14:paraId="135DDE60" w14:textId="77777777" w:rsidTr="00B479EB">
        <w:trPr>
          <w:trHeight w:val="397"/>
          <w:tblHeader/>
          <w:tblCellSpacing w:w="20" w:type="dxa"/>
        </w:trPr>
        <w:tc>
          <w:tcPr>
            <w:tcW w:w="2250" w:type="dxa"/>
            <w:shd w:val="clear" w:color="auto" w:fill="861D31"/>
            <w:noWrap/>
            <w:vAlign w:val="center"/>
          </w:tcPr>
          <w:p w14:paraId="080C37EE"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Sección</w:t>
            </w:r>
          </w:p>
        </w:tc>
        <w:tc>
          <w:tcPr>
            <w:tcW w:w="1673" w:type="dxa"/>
            <w:gridSpan w:val="2"/>
            <w:shd w:val="clear" w:color="auto" w:fill="861D31"/>
            <w:vAlign w:val="center"/>
          </w:tcPr>
          <w:p w14:paraId="57CA5B2F"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Texto del Informe</w:t>
            </w:r>
          </w:p>
        </w:tc>
        <w:tc>
          <w:tcPr>
            <w:tcW w:w="3097" w:type="dxa"/>
            <w:gridSpan w:val="2"/>
            <w:shd w:val="clear" w:color="auto" w:fill="861D31"/>
            <w:vAlign w:val="center"/>
          </w:tcPr>
          <w:p w14:paraId="0918FCFC"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Punto de vista de la Dependencia o Entidad</w:t>
            </w:r>
          </w:p>
        </w:tc>
        <w:tc>
          <w:tcPr>
            <w:tcW w:w="2253" w:type="dxa"/>
            <w:shd w:val="clear" w:color="auto" w:fill="861D31"/>
            <w:vAlign w:val="center"/>
          </w:tcPr>
          <w:p w14:paraId="1EADFA09"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Acción de mejora derivada de la evaluación</w:t>
            </w:r>
          </w:p>
        </w:tc>
      </w:tr>
      <w:tr w:rsidR="00795792" w:rsidRPr="00E1388F" w14:paraId="4243925B" w14:textId="77777777" w:rsidTr="00B479EB">
        <w:trPr>
          <w:trHeight w:val="1348"/>
          <w:tblHeader/>
          <w:tblCellSpacing w:w="20" w:type="dxa"/>
        </w:trPr>
        <w:tc>
          <w:tcPr>
            <w:tcW w:w="2298" w:type="dxa"/>
            <w:gridSpan w:val="2"/>
            <w:shd w:val="clear" w:color="auto" w:fill="auto"/>
            <w:noWrap/>
            <w:vAlign w:val="center"/>
          </w:tcPr>
          <w:p w14:paraId="518314CF" w14:textId="79AB2012" w:rsidR="0045331D" w:rsidRDefault="00B479EB" w:rsidP="0045331D">
            <w:pPr>
              <w:spacing w:after="0" w:line="240" w:lineRule="auto"/>
              <w:rPr>
                <w:b/>
                <w:bCs/>
                <w:color w:val="F2F2F2" w:themeColor="background1" w:themeShade="F2"/>
              </w:rPr>
            </w:pPr>
            <w:r>
              <w:rPr>
                <w:rFonts w:asciiTheme="minorHAnsi" w:hAnsiTheme="minorHAnsi"/>
              </w:rPr>
              <w:t>Informe / Recomendaciones / 2</w:t>
            </w:r>
          </w:p>
        </w:tc>
        <w:tc>
          <w:tcPr>
            <w:tcW w:w="1673" w:type="dxa"/>
            <w:gridSpan w:val="2"/>
            <w:shd w:val="clear" w:color="auto" w:fill="auto"/>
            <w:vAlign w:val="center"/>
          </w:tcPr>
          <w:p w14:paraId="2CC23792" w14:textId="35AA214C" w:rsidR="0045331D" w:rsidRDefault="0045331D" w:rsidP="0045331D">
            <w:pPr>
              <w:spacing w:after="0" w:line="240" w:lineRule="auto"/>
              <w:rPr>
                <w:b/>
                <w:bCs/>
                <w:color w:val="F2F2F2" w:themeColor="background1" w:themeShade="F2"/>
              </w:rPr>
            </w:pPr>
            <w:r>
              <w:rPr>
                <w:rFonts w:eastAsia="Times New Roman"/>
                <w:color w:val="000000"/>
                <w:lang w:eastAsia="es-MX"/>
              </w:rPr>
              <w:t>C</w:t>
            </w:r>
            <w:r w:rsidRPr="00D9674C">
              <w:rPr>
                <w:rFonts w:eastAsia="Times New Roman"/>
                <w:color w:val="000000"/>
                <w:lang w:eastAsia="es-MX"/>
              </w:rPr>
              <w:t>ontinuar con el programa de capacitación de vacunación.</w:t>
            </w:r>
          </w:p>
        </w:tc>
        <w:tc>
          <w:tcPr>
            <w:tcW w:w="3049" w:type="dxa"/>
            <w:shd w:val="clear" w:color="auto" w:fill="auto"/>
            <w:vAlign w:val="center"/>
          </w:tcPr>
          <w:p w14:paraId="31DAA4DF" w14:textId="0208B870" w:rsidR="0045331D" w:rsidRPr="008368E6" w:rsidRDefault="00182DAC" w:rsidP="0045331D">
            <w:pPr>
              <w:spacing w:after="0" w:line="240" w:lineRule="auto"/>
              <w:rPr>
                <w:bCs/>
              </w:rPr>
            </w:pPr>
            <w:r>
              <w:rPr>
                <w:bCs/>
              </w:rPr>
              <w:t>El programa de vacunación requiere de una capacitación continua para estandarizar los procesos, para actualizar de acuerdo a nuevos lineamientos o campañas de vacunación por lo que la capacitación es permanente</w:t>
            </w:r>
            <w:r w:rsidR="00731311">
              <w:rPr>
                <w:bCs/>
              </w:rPr>
              <w:t>.</w:t>
            </w:r>
          </w:p>
        </w:tc>
        <w:tc>
          <w:tcPr>
            <w:tcW w:w="2253" w:type="dxa"/>
            <w:shd w:val="clear" w:color="auto" w:fill="auto"/>
            <w:vAlign w:val="center"/>
          </w:tcPr>
          <w:p w14:paraId="2BF3C7C5" w14:textId="23984DCC" w:rsidR="0045331D" w:rsidRPr="008368E6" w:rsidRDefault="00BD25CC" w:rsidP="0045331D">
            <w:pPr>
              <w:spacing w:after="0" w:line="240" w:lineRule="auto"/>
              <w:rPr>
                <w:bCs/>
              </w:rPr>
            </w:pPr>
            <w:r>
              <w:rPr>
                <w:bCs/>
              </w:rPr>
              <w:t>Capacitar previo a las jornadas de salud pública y de manera continua para reforzar las acciones del programa</w:t>
            </w:r>
            <w:r w:rsidR="00731311">
              <w:rPr>
                <w:bCs/>
              </w:rPr>
              <w:t>.</w:t>
            </w:r>
          </w:p>
        </w:tc>
      </w:tr>
      <w:tr w:rsidR="009F6A31" w:rsidRPr="00E1388F" w14:paraId="5916B465" w14:textId="77777777" w:rsidTr="00B479EB">
        <w:trPr>
          <w:trHeight w:val="1348"/>
          <w:tblHeader/>
          <w:tblCellSpacing w:w="20" w:type="dxa"/>
        </w:trPr>
        <w:tc>
          <w:tcPr>
            <w:tcW w:w="2298" w:type="dxa"/>
            <w:gridSpan w:val="2"/>
            <w:shd w:val="clear" w:color="auto" w:fill="auto"/>
            <w:noWrap/>
            <w:vAlign w:val="center"/>
          </w:tcPr>
          <w:p w14:paraId="3C4F64B0" w14:textId="66E9E1D9" w:rsidR="009F6A31" w:rsidRDefault="009F6A31" w:rsidP="009F6A31">
            <w:pPr>
              <w:spacing w:after="0" w:line="240" w:lineRule="auto"/>
              <w:rPr>
                <w:rFonts w:asciiTheme="minorHAnsi" w:hAnsiTheme="minorHAnsi"/>
              </w:rPr>
            </w:pPr>
            <w:r w:rsidRPr="00771385">
              <w:rPr>
                <w:rFonts w:asciiTheme="minorHAnsi" w:hAnsiTheme="minorHAnsi"/>
              </w:rPr>
              <w:t xml:space="preserve">Informe / </w:t>
            </w:r>
            <w:r w:rsidR="00B479EB">
              <w:rPr>
                <w:rFonts w:asciiTheme="minorHAnsi" w:hAnsiTheme="minorHAnsi"/>
              </w:rPr>
              <w:t>Recomendaciones / 3</w:t>
            </w:r>
          </w:p>
        </w:tc>
        <w:tc>
          <w:tcPr>
            <w:tcW w:w="1673" w:type="dxa"/>
            <w:gridSpan w:val="2"/>
            <w:shd w:val="clear" w:color="auto" w:fill="auto"/>
            <w:vAlign w:val="center"/>
          </w:tcPr>
          <w:p w14:paraId="4CD68070" w14:textId="23AA9CBE" w:rsidR="009F6A31" w:rsidRDefault="009F6A31" w:rsidP="009F6A31">
            <w:pPr>
              <w:spacing w:after="0" w:line="240" w:lineRule="auto"/>
              <w:rPr>
                <w:rFonts w:eastAsia="Times New Roman"/>
                <w:color w:val="000000"/>
                <w:lang w:eastAsia="es-MX"/>
              </w:rPr>
            </w:pPr>
            <w:r w:rsidRPr="00D9674C">
              <w:rPr>
                <w:rFonts w:eastAsia="Times New Roman"/>
                <w:color w:val="000000"/>
                <w:lang w:eastAsia="es-MX"/>
              </w:rPr>
              <w:t>Programa de supervisión y evaluación de las actividades de vacunación universal y sus fases intensivas.</w:t>
            </w:r>
          </w:p>
        </w:tc>
        <w:tc>
          <w:tcPr>
            <w:tcW w:w="3049" w:type="dxa"/>
            <w:shd w:val="clear" w:color="auto" w:fill="auto"/>
            <w:vAlign w:val="center"/>
          </w:tcPr>
          <w:p w14:paraId="5C0A33FC" w14:textId="634BF7E4" w:rsidR="009F6A31" w:rsidRDefault="009F6A31" w:rsidP="009F6A31">
            <w:pPr>
              <w:spacing w:after="0" w:line="240" w:lineRule="auto"/>
              <w:rPr>
                <w:bCs/>
              </w:rPr>
            </w:pPr>
            <w:r>
              <w:t>La supervisión es un proceso continuo de asesoría técnica, donde se recopila información de cómo se realiza el trabajo operativo, se identifican dificultades técnicas para el desarrollo de las actividades, se analiza para realizar acciones correctivas o complementarias para logros, objetivos y metas por lo que es muy relevante que se continúe realizando a todos los niveles.</w:t>
            </w:r>
          </w:p>
        </w:tc>
        <w:tc>
          <w:tcPr>
            <w:tcW w:w="2253" w:type="dxa"/>
            <w:shd w:val="clear" w:color="auto" w:fill="auto"/>
            <w:vAlign w:val="center"/>
          </w:tcPr>
          <w:p w14:paraId="0E792896" w14:textId="7471E1FB" w:rsidR="009F6A31" w:rsidRDefault="009F6A31" w:rsidP="009F6A31">
            <w:pPr>
              <w:spacing w:after="0" w:line="240" w:lineRule="auto"/>
              <w:rPr>
                <w:bCs/>
              </w:rPr>
            </w:pPr>
            <w:r>
              <w:rPr>
                <w:bCs/>
              </w:rPr>
              <w:t>Realizar oficio anual de programación de supervisión a nivel jurisdiccional y verificar el cumplimiento.</w:t>
            </w:r>
          </w:p>
        </w:tc>
      </w:tr>
    </w:tbl>
    <w:p w14:paraId="735FEE26" w14:textId="4240284F" w:rsidR="009F6A31" w:rsidRDefault="009F6A31"/>
    <w:p w14:paraId="4DCD3E57" w14:textId="55DD7402" w:rsidR="009F6A31" w:rsidRDefault="009F6A31"/>
    <w:p w14:paraId="43730CDC" w14:textId="77777777" w:rsidR="00B479EB" w:rsidRDefault="00B479EB"/>
    <w:p w14:paraId="2FC125E5" w14:textId="77777777" w:rsidR="00B479EB" w:rsidRDefault="00B479EB"/>
    <w:p w14:paraId="2BB859DA" w14:textId="5A5BD3F7" w:rsidR="009F6A31" w:rsidRDefault="009F6A31"/>
    <w:p w14:paraId="0FDF876C" w14:textId="0D5AE1CD" w:rsidR="009F6A31" w:rsidRDefault="009F6A31"/>
    <w:p w14:paraId="72952559" w14:textId="5EC6CA28" w:rsidR="009F6A31" w:rsidRDefault="009F6A31"/>
    <w:p w14:paraId="0B464012" w14:textId="77777777" w:rsidR="009F6A31" w:rsidRDefault="009F6A31"/>
    <w:tbl>
      <w:tblPr>
        <w:tblW w:w="9473"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288"/>
        <w:gridCol w:w="47"/>
        <w:gridCol w:w="1670"/>
        <w:gridCol w:w="47"/>
        <w:gridCol w:w="3100"/>
        <w:gridCol w:w="2321"/>
      </w:tblGrid>
      <w:tr w:rsidR="009F6A31" w:rsidRPr="00E1388F" w14:paraId="13CE24E9" w14:textId="77777777" w:rsidTr="0058248E">
        <w:trPr>
          <w:trHeight w:val="397"/>
          <w:tblHeader/>
          <w:tblCellSpacing w:w="20" w:type="dxa"/>
        </w:trPr>
        <w:tc>
          <w:tcPr>
            <w:tcW w:w="9393" w:type="dxa"/>
            <w:gridSpan w:val="6"/>
            <w:tcBorders>
              <w:right w:val="outset" w:sz="6" w:space="0" w:color="A0A0A0"/>
            </w:tcBorders>
            <w:shd w:val="clear" w:color="auto" w:fill="861D31"/>
            <w:noWrap/>
            <w:vAlign w:val="center"/>
          </w:tcPr>
          <w:p w14:paraId="60576518" w14:textId="77777777" w:rsidR="009F6A31" w:rsidRDefault="009F6A31" w:rsidP="009F6A31">
            <w:pPr>
              <w:pStyle w:val="Prrafodelista"/>
              <w:numPr>
                <w:ilvl w:val="0"/>
                <w:numId w:val="11"/>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lastRenderedPageBreak/>
              <w:t>Uso de las recomendaciones de la evaluación</w:t>
            </w:r>
          </w:p>
        </w:tc>
      </w:tr>
      <w:tr w:rsidR="009F6A31" w:rsidRPr="00E1388F" w14:paraId="26B298B6" w14:textId="77777777" w:rsidTr="009F6A31">
        <w:trPr>
          <w:trHeight w:val="397"/>
          <w:tblHeader/>
          <w:tblCellSpacing w:w="20" w:type="dxa"/>
        </w:trPr>
        <w:tc>
          <w:tcPr>
            <w:tcW w:w="2206" w:type="dxa"/>
            <w:shd w:val="clear" w:color="auto" w:fill="861D31"/>
            <w:noWrap/>
            <w:vAlign w:val="center"/>
          </w:tcPr>
          <w:p w14:paraId="666AB44B"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Sección</w:t>
            </w:r>
          </w:p>
        </w:tc>
        <w:tc>
          <w:tcPr>
            <w:tcW w:w="1681" w:type="dxa"/>
            <w:gridSpan w:val="2"/>
            <w:shd w:val="clear" w:color="auto" w:fill="861D31"/>
            <w:vAlign w:val="center"/>
          </w:tcPr>
          <w:p w14:paraId="26937D2F"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Texto del Informe</w:t>
            </w:r>
          </w:p>
        </w:tc>
        <w:tc>
          <w:tcPr>
            <w:tcW w:w="3117" w:type="dxa"/>
            <w:gridSpan w:val="2"/>
            <w:shd w:val="clear" w:color="auto" w:fill="861D31"/>
            <w:vAlign w:val="center"/>
          </w:tcPr>
          <w:p w14:paraId="0336490C"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Punto de vista de la Dependencia o Entidad</w:t>
            </w:r>
          </w:p>
        </w:tc>
        <w:tc>
          <w:tcPr>
            <w:tcW w:w="2269" w:type="dxa"/>
            <w:shd w:val="clear" w:color="auto" w:fill="861D31"/>
            <w:vAlign w:val="center"/>
          </w:tcPr>
          <w:p w14:paraId="549D0416" w14:textId="77777777" w:rsidR="009F6A31" w:rsidRPr="0045331D" w:rsidRDefault="009F6A31" w:rsidP="0058248E">
            <w:pPr>
              <w:spacing w:after="0" w:line="240" w:lineRule="auto"/>
              <w:jc w:val="center"/>
              <w:rPr>
                <w:rFonts w:eastAsia="Times New Roman"/>
                <w:b/>
                <w:bCs/>
                <w:color w:val="F2F2F2" w:themeColor="background1" w:themeShade="F2"/>
                <w:lang w:eastAsia="es-MX"/>
              </w:rPr>
            </w:pPr>
            <w:r>
              <w:rPr>
                <w:b/>
                <w:bCs/>
                <w:color w:val="F2F2F2" w:themeColor="background1" w:themeShade="F2"/>
              </w:rPr>
              <w:t>Acción de mejora derivada de la evaluación</w:t>
            </w:r>
          </w:p>
        </w:tc>
      </w:tr>
      <w:tr w:rsidR="009F6A31" w:rsidRPr="00E1388F" w14:paraId="402CF8FD" w14:textId="77777777" w:rsidTr="009F6A31">
        <w:trPr>
          <w:trHeight w:val="1348"/>
          <w:tblHeader/>
          <w:tblCellSpacing w:w="20" w:type="dxa"/>
        </w:trPr>
        <w:tc>
          <w:tcPr>
            <w:tcW w:w="2252" w:type="dxa"/>
            <w:gridSpan w:val="2"/>
            <w:shd w:val="clear" w:color="auto" w:fill="auto"/>
            <w:noWrap/>
            <w:vAlign w:val="center"/>
          </w:tcPr>
          <w:p w14:paraId="3B310E90" w14:textId="078B7160" w:rsidR="009F6A31" w:rsidRDefault="00B479EB" w:rsidP="009F6A31">
            <w:pPr>
              <w:spacing w:after="0" w:line="240" w:lineRule="auto"/>
              <w:rPr>
                <w:rFonts w:asciiTheme="minorHAnsi" w:hAnsiTheme="minorHAnsi"/>
              </w:rPr>
            </w:pPr>
            <w:r>
              <w:rPr>
                <w:rFonts w:asciiTheme="minorHAnsi" w:hAnsiTheme="minorHAnsi"/>
              </w:rPr>
              <w:t>Informe / Recomendaciones / 4</w:t>
            </w:r>
          </w:p>
        </w:tc>
        <w:tc>
          <w:tcPr>
            <w:tcW w:w="1681" w:type="dxa"/>
            <w:gridSpan w:val="2"/>
            <w:shd w:val="clear" w:color="auto" w:fill="auto"/>
            <w:vAlign w:val="center"/>
          </w:tcPr>
          <w:p w14:paraId="64088A4B" w14:textId="500B4DBC" w:rsidR="009F6A31" w:rsidRDefault="009F6A31" w:rsidP="009F6A31">
            <w:pPr>
              <w:spacing w:after="0" w:line="240" w:lineRule="auto"/>
              <w:rPr>
                <w:rFonts w:eastAsia="Times New Roman"/>
                <w:color w:val="000000"/>
                <w:lang w:eastAsia="es-MX"/>
              </w:rPr>
            </w:pPr>
            <w:r w:rsidRPr="00D9674C">
              <w:rPr>
                <w:rFonts w:eastAsia="Times New Roman"/>
                <w:color w:val="000000"/>
                <w:lang w:eastAsia="es-MX"/>
              </w:rPr>
              <w:t xml:space="preserve">Evaluación trimestral para determinar </w:t>
            </w:r>
            <w:r w:rsidR="002E7BC0">
              <w:rPr>
                <w:rFonts w:eastAsia="Times New Roman"/>
                <w:color w:val="000000"/>
                <w:lang w:eastAsia="es-MX"/>
              </w:rPr>
              <w:t xml:space="preserve">las </w:t>
            </w:r>
            <w:r w:rsidRPr="00D9674C">
              <w:rPr>
                <w:rFonts w:eastAsia="Times New Roman"/>
                <w:color w:val="000000"/>
                <w:lang w:eastAsia="es-MX"/>
              </w:rPr>
              <w:t>áreas críticas que permitan reorganizar el programa</w:t>
            </w:r>
            <w:r>
              <w:rPr>
                <w:rFonts w:eastAsia="Times New Roman"/>
                <w:color w:val="000000"/>
                <w:lang w:eastAsia="es-MX"/>
              </w:rPr>
              <w:t>.</w:t>
            </w:r>
          </w:p>
        </w:tc>
        <w:tc>
          <w:tcPr>
            <w:tcW w:w="3071" w:type="dxa"/>
            <w:shd w:val="clear" w:color="auto" w:fill="auto"/>
            <w:vAlign w:val="center"/>
          </w:tcPr>
          <w:p w14:paraId="36AE533C" w14:textId="5CB1FE16" w:rsidR="009F6A31" w:rsidRDefault="009F6A31" w:rsidP="009F6A31">
            <w:pPr>
              <w:spacing w:after="0" w:line="240" w:lineRule="auto"/>
              <w:rPr>
                <w:bCs/>
              </w:rPr>
            </w:pPr>
            <w:r w:rsidRPr="008368E6">
              <w:rPr>
                <w:bCs/>
              </w:rPr>
              <w:t>Las coberturas vacunales se pueden obtener, fundamentalmente, mediante 3 métodos: a partir de los datos de los registros numéricos de vacunas distribuidas y administradas, los registros nominales de vacunaciones y las encuestas poblacionale</w:t>
            </w:r>
            <w:r>
              <w:rPr>
                <w:bCs/>
              </w:rPr>
              <w:t>s, el programa debe continuar evaluando trimestralmente las dosis aplicadas, entregadas y capturadas en los sistemas de salud oficiales para vigilar los avances y detectar áreas críticas de oportunidad para mejora</w:t>
            </w:r>
            <w:r w:rsidR="002E7BC0">
              <w:rPr>
                <w:bCs/>
              </w:rPr>
              <w:t>.</w:t>
            </w:r>
          </w:p>
        </w:tc>
        <w:tc>
          <w:tcPr>
            <w:tcW w:w="2269" w:type="dxa"/>
            <w:shd w:val="clear" w:color="auto" w:fill="auto"/>
            <w:vAlign w:val="center"/>
          </w:tcPr>
          <w:p w14:paraId="58BC0587" w14:textId="336D7533" w:rsidR="009F6A31" w:rsidRDefault="009F6A31" w:rsidP="009F6A31">
            <w:pPr>
              <w:spacing w:after="0" w:line="240" w:lineRule="auto"/>
              <w:rPr>
                <w:bCs/>
              </w:rPr>
            </w:pPr>
            <w:r>
              <w:rPr>
                <w:bCs/>
              </w:rPr>
              <w:t>Llevar los procesos de Calidad del dato donde se registra dosis de vacuna aplicada en censos nominales, analizar la captura en los sistema de salud (SIS) de manera mensual y verificar las vacunas entregadas, reportadas y existencias por unidad de salud.</w:t>
            </w:r>
          </w:p>
        </w:tc>
      </w:tr>
    </w:tbl>
    <w:p w14:paraId="1E0142DE" w14:textId="77777777" w:rsidR="00410A1B" w:rsidRDefault="00410A1B"/>
    <w:p w14:paraId="31369646" w14:textId="77777777" w:rsidR="0045331D" w:rsidRDefault="0045331D">
      <w:pPr>
        <w:spacing w:after="0" w:line="240" w:lineRule="auto"/>
        <w:rPr>
          <w:rFonts w:asciiTheme="minorHAnsi" w:hAnsiTheme="minorHAnsi"/>
          <w:sz w:val="24"/>
          <w:szCs w:val="24"/>
        </w:rPr>
      </w:pPr>
      <w:r>
        <w:rPr>
          <w:rFonts w:asciiTheme="minorHAnsi" w:hAnsiTheme="minorHAnsi"/>
          <w:sz w:val="24"/>
          <w:szCs w:val="24"/>
        </w:rPr>
        <w:br w:type="page"/>
      </w:r>
    </w:p>
    <w:tbl>
      <w:tblPr>
        <w:tblW w:w="941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46"/>
      </w:tblGrid>
      <w:tr w:rsidR="003414E8" w:rsidRPr="00930172" w14:paraId="1DB21BBB" w14:textId="77777777" w:rsidTr="0045331D">
        <w:trPr>
          <w:trHeight w:val="397"/>
          <w:tblCellSpacing w:w="20" w:type="dxa"/>
        </w:trPr>
        <w:tc>
          <w:tcPr>
            <w:tcW w:w="9336" w:type="dxa"/>
            <w:shd w:val="clear" w:color="auto" w:fill="861D31"/>
            <w:noWrap/>
            <w:vAlign w:val="center"/>
          </w:tcPr>
          <w:p w14:paraId="0C0B0456" w14:textId="76F371AC" w:rsidR="003414E8" w:rsidRPr="00232E33" w:rsidRDefault="00E12CA5" w:rsidP="004523C9">
            <w:pPr>
              <w:pStyle w:val="Prrafodelista"/>
              <w:numPr>
                <w:ilvl w:val="0"/>
                <w:numId w:val="7"/>
              </w:numPr>
              <w:spacing w:after="0" w:line="240" w:lineRule="auto"/>
              <w:jc w:val="center"/>
              <w:rPr>
                <w:rFonts w:eastAsia="Times New Roman"/>
                <w:b/>
                <w:bCs/>
                <w:color w:val="F2F2F2" w:themeColor="background1" w:themeShade="F2"/>
                <w:lang w:eastAsia="es-MX"/>
              </w:rPr>
            </w:pPr>
            <w:r w:rsidRPr="00232E33">
              <w:rPr>
                <w:rFonts w:eastAsia="Times New Roman"/>
                <w:b/>
                <w:bCs/>
                <w:color w:val="F2F2F2" w:themeColor="background1" w:themeShade="F2"/>
                <w:lang w:eastAsia="es-MX"/>
              </w:rPr>
              <w:lastRenderedPageBreak/>
              <w:t>Posición Institucional respecto de la evaluación</w:t>
            </w:r>
          </w:p>
        </w:tc>
      </w:tr>
    </w:tbl>
    <w:p w14:paraId="1C0BA891" w14:textId="745CD735" w:rsidR="00EC63B6" w:rsidRPr="00930172" w:rsidRDefault="00EC63B6" w:rsidP="00930172">
      <w:pPr>
        <w:spacing w:line="240" w:lineRule="auto"/>
        <w:jc w:val="both"/>
        <w:rPr>
          <w:rFonts w:asciiTheme="minorHAnsi" w:hAnsiTheme="minorHAnsi"/>
          <w:sz w:val="24"/>
          <w:szCs w:val="24"/>
        </w:rPr>
      </w:pPr>
    </w:p>
    <w:p w14:paraId="58DBD1A8" w14:textId="1451EBEB" w:rsidR="00EE0924" w:rsidRDefault="00232E33" w:rsidP="0045331D">
      <w:pPr>
        <w:spacing w:after="0" w:line="240" w:lineRule="auto"/>
        <w:ind w:right="-141"/>
        <w:jc w:val="both"/>
        <w:rPr>
          <w:rFonts w:asciiTheme="minorHAnsi" w:hAnsiTheme="minorHAnsi"/>
          <w:sz w:val="24"/>
          <w:szCs w:val="24"/>
          <w:lang w:val="es-ES"/>
        </w:rPr>
      </w:pPr>
      <w:r>
        <w:rPr>
          <w:rFonts w:asciiTheme="minorHAnsi" w:hAnsiTheme="minorHAnsi"/>
          <w:sz w:val="24"/>
          <w:szCs w:val="24"/>
          <w:lang w:val="es-ES"/>
        </w:rPr>
        <w:t>Se considera que el Informe de la Evaluación Específica de Desempeño, contiene los elementos necesarios para conocer el programa y su evolución a través del tiempo.</w:t>
      </w:r>
    </w:p>
    <w:p w14:paraId="25D447E7" w14:textId="77777777" w:rsidR="00232E33" w:rsidRPr="00232E33" w:rsidRDefault="00232E33" w:rsidP="00232E33">
      <w:pPr>
        <w:spacing w:line="240" w:lineRule="auto"/>
        <w:ind w:right="-141"/>
        <w:jc w:val="both"/>
        <w:rPr>
          <w:rFonts w:asciiTheme="minorHAnsi" w:hAnsiTheme="minorHAnsi"/>
          <w:sz w:val="24"/>
          <w:szCs w:val="24"/>
          <w:lang w:val="es-ES"/>
        </w:rPr>
      </w:pPr>
    </w:p>
    <w:tbl>
      <w:tblPr>
        <w:tblW w:w="938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16"/>
      </w:tblGrid>
      <w:tr w:rsidR="00232E33" w:rsidRPr="00930172" w14:paraId="64BF063D" w14:textId="77777777" w:rsidTr="0045331D">
        <w:trPr>
          <w:trHeight w:val="397"/>
          <w:tblCellSpacing w:w="20" w:type="dxa"/>
        </w:trPr>
        <w:tc>
          <w:tcPr>
            <w:tcW w:w="9306" w:type="dxa"/>
            <w:shd w:val="clear" w:color="auto" w:fill="861D31"/>
            <w:noWrap/>
            <w:vAlign w:val="center"/>
          </w:tcPr>
          <w:p w14:paraId="589EF237" w14:textId="0DD79B0C" w:rsidR="00232E33" w:rsidRPr="00232E33" w:rsidRDefault="00232E33" w:rsidP="004523C9">
            <w:pPr>
              <w:pStyle w:val="Prrafodelista"/>
              <w:numPr>
                <w:ilvl w:val="0"/>
                <w:numId w:val="7"/>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Comentarios específicos</w:t>
            </w:r>
          </w:p>
        </w:tc>
      </w:tr>
    </w:tbl>
    <w:p w14:paraId="0F5F3F55" w14:textId="77777777" w:rsidR="00232E33" w:rsidRPr="00930172" w:rsidRDefault="00232E33" w:rsidP="00232E33">
      <w:pPr>
        <w:spacing w:line="240" w:lineRule="auto"/>
        <w:jc w:val="both"/>
        <w:rPr>
          <w:rFonts w:asciiTheme="minorHAnsi" w:hAnsiTheme="minorHAnsi"/>
          <w:sz w:val="24"/>
          <w:szCs w:val="24"/>
        </w:rPr>
      </w:pPr>
    </w:p>
    <w:p w14:paraId="19CD620F" w14:textId="760980B5" w:rsidR="002B45DE" w:rsidRPr="00744BBC" w:rsidRDefault="002B45DE" w:rsidP="00930172">
      <w:pPr>
        <w:spacing w:line="240" w:lineRule="auto"/>
        <w:ind w:right="-141"/>
        <w:jc w:val="both"/>
        <w:rPr>
          <w:rFonts w:asciiTheme="minorHAnsi" w:hAnsiTheme="minorHAnsi"/>
          <w:b/>
          <w:bCs/>
          <w:sz w:val="24"/>
          <w:szCs w:val="24"/>
        </w:rPr>
      </w:pPr>
      <w:r w:rsidRPr="00930172">
        <w:rPr>
          <w:rFonts w:asciiTheme="minorHAnsi" w:hAnsiTheme="minorHAnsi"/>
          <w:b/>
          <w:bCs/>
          <w:sz w:val="24"/>
          <w:szCs w:val="24"/>
        </w:rPr>
        <w:t>3.</w:t>
      </w:r>
      <w:r w:rsidRPr="00744BBC">
        <w:rPr>
          <w:rFonts w:asciiTheme="minorHAnsi" w:hAnsiTheme="minorHAnsi"/>
          <w:b/>
          <w:bCs/>
          <w:sz w:val="24"/>
          <w:szCs w:val="24"/>
        </w:rPr>
        <w:t>1 Sobre los resultados de la evaluación</w:t>
      </w:r>
    </w:p>
    <w:p w14:paraId="450C8E74" w14:textId="5A418575" w:rsidR="00744BBC" w:rsidRDefault="00744BBC" w:rsidP="00EE14A0">
      <w:pPr>
        <w:pStyle w:val="Prrafodelista"/>
        <w:numPr>
          <w:ilvl w:val="0"/>
          <w:numId w:val="5"/>
        </w:numPr>
        <w:spacing w:line="240" w:lineRule="auto"/>
        <w:ind w:right="-141"/>
        <w:jc w:val="both"/>
        <w:rPr>
          <w:rFonts w:asciiTheme="minorHAnsi" w:hAnsiTheme="minorHAnsi"/>
          <w:sz w:val="24"/>
          <w:szCs w:val="24"/>
          <w:lang w:val="es-ES"/>
        </w:rPr>
      </w:pPr>
      <w:r w:rsidRPr="00744BBC">
        <w:rPr>
          <w:rFonts w:asciiTheme="minorHAnsi" w:hAnsiTheme="minorHAnsi"/>
          <w:sz w:val="24"/>
          <w:szCs w:val="24"/>
          <w:lang w:val="es-ES"/>
        </w:rPr>
        <w:t>El programa muestra un cumplimiento en sus metas programadas de capacitaciones y supervisiones.</w:t>
      </w:r>
    </w:p>
    <w:p w14:paraId="1EA9AD33" w14:textId="77777777" w:rsidR="00744BBC" w:rsidRPr="00744BBC" w:rsidRDefault="00744BBC" w:rsidP="00EE14A0">
      <w:pPr>
        <w:pStyle w:val="Prrafodelista"/>
        <w:spacing w:line="240" w:lineRule="auto"/>
        <w:ind w:right="-141"/>
        <w:jc w:val="both"/>
        <w:rPr>
          <w:rFonts w:asciiTheme="minorHAnsi" w:hAnsiTheme="minorHAnsi"/>
          <w:sz w:val="24"/>
          <w:szCs w:val="24"/>
          <w:lang w:val="es-ES"/>
        </w:rPr>
      </w:pPr>
    </w:p>
    <w:p w14:paraId="5F64FE92" w14:textId="10BB0EDF" w:rsidR="00744BBC" w:rsidRDefault="00744BBC" w:rsidP="00EE14A0">
      <w:pPr>
        <w:pStyle w:val="Prrafodelista"/>
        <w:numPr>
          <w:ilvl w:val="0"/>
          <w:numId w:val="5"/>
        </w:numPr>
        <w:spacing w:line="240" w:lineRule="auto"/>
        <w:ind w:right="-141"/>
        <w:jc w:val="both"/>
        <w:rPr>
          <w:rFonts w:asciiTheme="minorHAnsi" w:hAnsiTheme="minorHAnsi"/>
          <w:sz w:val="24"/>
          <w:szCs w:val="24"/>
          <w:lang w:val="es-ES"/>
        </w:rPr>
      </w:pPr>
      <w:r w:rsidRPr="00744BBC">
        <w:rPr>
          <w:rFonts w:asciiTheme="minorHAnsi" w:hAnsiTheme="minorHAnsi"/>
          <w:sz w:val="24"/>
          <w:szCs w:val="24"/>
          <w:lang w:val="es-ES"/>
        </w:rPr>
        <w:t>Incremento en las directrices para la obtención de licencias sanitarias y mantener un control de todos los procedimientos a seguir para mantener la calidad de la vacuna.</w:t>
      </w:r>
    </w:p>
    <w:p w14:paraId="14D64989" w14:textId="77777777" w:rsidR="00EE14A0" w:rsidRPr="00EE14A0" w:rsidRDefault="00EE14A0" w:rsidP="00EE14A0">
      <w:pPr>
        <w:pStyle w:val="Prrafodelista"/>
        <w:jc w:val="both"/>
        <w:rPr>
          <w:rFonts w:asciiTheme="minorHAnsi" w:hAnsiTheme="minorHAnsi"/>
          <w:sz w:val="24"/>
          <w:szCs w:val="24"/>
          <w:lang w:val="es-ES"/>
        </w:rPr>
      </w:pPr>
    </w:p>
    <w:p w14:paraId="10D39D24" w14:textId="739A3236" w:rsidR="00EE14A0" w:rsidRDefault="00EE14A0" w:rsidP="0045331D">
      <w:pPr>
        <w:pStyle w:val="Prrafodelista"/>
        <w:numPr>
          <w:ilvl w:val="0"/>
          <w:numId w:val="5"/>
        </w:numPr>
        <w:ind w:right="-141"/>
        <w:jc w:val="both"/>
        <w:rPr>
          <w:rFonts w:asciiTheme="minorHAnsi" w:hAnsiTheme="minorHAnsi"/>
          <w:sz w:val="24"/>
          <w:szCs w:val="24"/>
        </w:rPr>
      </w:pPr>
      <w:r w:rsidRPr="00EE14A0">
        <w:rPr>
          <w:rFonts w:asciiTheme="minorHAnsi" w:hAnsiTheme="minorHAnsi"/>
          <w:sz w:val="24"/>
          <w:szCs w:val="24"/>
        </w:rPr>
        <w:t>A partir del 2009-2010 en nivel federal realizo una donación de cámaras frías al estado y fue durante el 2013-2015 se crearon los Centros de Vacunología que permitieron mejorar la cadena de red de frio a nivel estatal para el almacenamiento y conservación de las vacunas.</w:t>
      </w:r>
    </w:p>
    <w:p w14:paraId="7D853DC5" w14:textId="77777777" w:rsidR="0045331D" w:rsidRPr="0045331D" w:rsidRDefault="0045331D" w:rsidP="0045331D">
      <w:pPr>
        <w:ind w:right="-141"/>
        <w:jc w:val="both"/>
        <w:rPr>
          <w:rFonts w:asciiTheme="minorHAnsi" w:hAnsiTheme="minorHAnsi"/>
          <w:sz w:val="24"/>
          <w:szCs w:val="24"/>
        </w:rPr>
      </w:pPr>
    </w:p>
    <w:p w14:paraId="67167900" w14:textId="295A6AE7" w:rsidR="002B45DE" w:rsidRPr="00930172" w:rsidRDefault="002B45DE" w:rsidP="00930172">
      <w:pPr>
        <w:spacing w:line="240" w:lineRule="auto"/>
        <w:ind w:right="-141"/>
        <w:jc w:val="both"/>
        <w:rPr>
          <w:rFonts w:asciiTheme="minorHAnsi" w:hAnsiTheme="minorHAnsi"/>
          <w:b/>
          <w:bCs/>
          <w:sz w:val="24"/>
          <w:szCs w:val="24"/>
        </w:rPr>
      </w:pPr>
      <w:r w:rsidRPr="00930172">
        <w:rPr>
          <w:rFonts w:asciiTheme="minorHAnsi" w:hAnsiTheme="minorHAnsi"/>
          <w:b/>
          <w:bCs/>
          <w:sz w:val="24"/>
          <w:szCs w:val="24"/>
        </w:rPr>
        <w:t>3.2 Sobre el proceso de la evaluación</w:t>
      </w:r>
    </w:p>
    <w:p w14:paraId="79858163" w14:textId="3E479211" w:rsidR="00EE0924" w:rsidRPr="00FA04A3" w:rsidRDefault="00EE0924" w:rsidP="005C0CBC">
      <w:pPr>
        <w:pStyle w:val="Prrafodelista"/>
        <w:numPr>
          <w:ilvl w:val="0"/>
          <w:numId w:val="2"/>
        </w:numPr>
        <w:spacing w:line="240" w:lineRule="auto"/>
        <w:ind w:right="-141"/>
        <w:jc w:val="both"/>
        <w:rPr>
          <w:rFonts w:asciiTheme="minorHAnsi" w:hAnsiTheme="minorHAnsi"/>
          <w:bCs/>
          <w:sz w:val="24"/>
          <w:szCs w:val="24"/>
          <w:lang w:val="es-ES"/>
        </w:rPr>
      </w:pPr>
      <w:r w:rsidRPr="00FA04A3">
        <w:rPr>
          <w:rFonts w:asciiTheme="minorHAnsi" w:hAnsiTheme="minorHAnsi"/>
          <w:bCs/>
          <w:sz w:val="24"/>
          <w:szCs w:val="24"/>
          <w:lang w:val="es-ES"/>
        </w:rPr>
        <w:t>El proceso de evaluación se realizó conforme a lo establecido en el Programa Anual de Evaluación para el Ejercicio Fiscal 201</w:t>
      </w:r>
      <w:r w:rsidR="00FA04A3" w:rsidRPr="00FA04A3">
        <w:rPr>
          <w:rFonts w:asciiTheme="minorHAnsi" w:hAnsiTheme="minorHAnsi"/>
          <w:bCs/>
          <w:sz w:val="24"/>
          <w:szCs w:val="24"/>
          <w:lang w:val="es-ES"/>
        </w:rPr>
        <w:t>9</w:t>
      </w:r>
      <w:r w:rsidRPr="00FA04A3">
        <w:rPr>
          <w:rFonts w:asciiTheme="minorHAnsi" w:hAnsiTheme="minorHAnsi"/>
          <w:bCs/>
          <w:sz w:val="24"/>
          <w:szCs w:val="24"/>
          <w:lang w:val="es-ES"/>
        </w:rPr>
        <w:t xml:space="preserve"> y los TdR emitidos para tal efecto</w:t>
      </w:r>
      <w:r w:rsidR="00FA04A3" w:rsidRPr="00FA04A3">
        <w:rPr>
          <w:rFonts w:asciiTheme="minorHAnsi" w:hAnsiTheme="minorHAnsi"/>
          <w:bCs/>
          <w:sz w:val="24"/>
          <w:szCs w:val="24"/>
          <w:lang w:val="es-ES"/>
        </w:rPr>
        <w:t>.</w:t>
      </w:r>
    </w:p>
    <w:sectPr w:rsidR="00EE0924" w:rsidRPr="00FA04A3" w:rsidSect="002B45DE">
      <w:headerReference w:type="default" r:id="rId9"/>
      <w:headerReference w:type="first" r:id="rId10"/>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93B35" w14:textId="77777777" w:rsidR="004E59F6" w:rsidRDefault="004E59F6" w:rsidP="008E5209">
      <w:pPr>
        <w:spacing w:after="0" w:line="240" w:lineRule="auto"/>
      </w:pPr>
      <w:r>
        <w:separator/>
      </w:r>
    </w:p>
  </w:endnote>
  <w:endnote w:type="continuationSeparator" w:id="0">
    <w:p w14:paraId="752ED368" w14:textId="77777777" w:rsidR="004E59F6" w:rsidRDefault="004E59F6"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oberana Sans">
    <w:altName w:val="Times New Roman"/>
    <w:charset w:val="00"/>
    <w:family w:val="swiss"/>
    <w:pitch w:val="default"/>
    <w:sig w:usb0="00000003" w:usb1="00000000" w:usb2="00000000" w:usb3="00000000" w:csb0="00000001" w:csb1="00000000"/>
  </w:font>
  <w:font w:name="Montserrat Light">
    <w:altName w:val="Courier New"/>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EB40B" w14:textId="77777777" w:rsidR="004E59F6" w:rsidRDefault="004E59F6" w:rsidP="008E5209">
      <w:pPr>
        <w:spacing w:after="0" w:line="240" w:lineRule="auto"/>
      </w:pPr>
      <w:r>
        <w:separator/>
      </w:r>
    </w:p>
  </w:footnote>
  <w:footnote w:type="continuationSeparator" w:id="0">
    <w:p w14:paraId="0042F3E1" w14:textId="77777777" w:rsidR="004E59F6" w:rsidRDefault="004E59F6"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F466"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0F7B2F07" wp14:editId="03C7DB44">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63AF555B" w14:textId="77777777" w:rsidR="00DF12BB" w:rsidRDefault="00DF12BB" w:rsidP="00DF12BB"/>
                        <w:p w14:paraId="586A7054"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F7B2F07"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63AF555B" w14:textId="77777777" w:rsidR="00DF12BB" w:rsidRDefault="00DF12BB" w:rsidP="00DF12BB"/>
                  <w:p w14:paraId="586A7054"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5336A44" wp14:editId="40806CC6">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7105ACE4" w14:textId="77777777" w:rsidR="00DF12BB" w:rsidRDefault="00DF12BB" w:rsidP="00DF12BB">
    <w:pPr>
      <w:pStyle w:val="Encabezado"/>
      <w:ind w:right="141"/>
      <w:jc w:val="right"/>
      <w:rPr>
        <w:rFonts w:ascii="Montserrat Light" w:hAnsi="Montserrat Light" w:cs="Arial"/>
        <w:b/>
        <w:color w:val="861D31"/>
        <w:szCs w:val="20"/>
      </w:rPr>
    </w:pPr>
  </w:p>
  <w:p w14:paraId="01C69DBE" w14:textId="77777777" w:rsidR="00DF12BB" w:rsidRDefault="00DF12BB" w:rsidP="00DF12BB">
    <w:pPr>
      <w:pStyle w:val="Encabezado"/>
    </w:pPr>
  </w:p>
  <w:p w14:paraId="3B9E3FB1" w14:textId="77777777" w:rsidR="00DF12BB" w:rsidRDefault="00DF12BB" w:rsidP="00DF12BB">
    <w:pPr>
      <w:pStyle w:val="Encabezado"/>
    </w:pPr>
  </w:p>
  <w:p w14:paraId="52B6C727" w14:textId="4902F72A" w:rsidR="002B45DE" w:rsidRDefault="002B45DE" w:rsidP="002B45DE">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Documento de posición institucional</w:t>
    </w:r>
  </w:p>
  <w:p w14:paraId="11D0D17D" w14:textId="77777777" w:rsidR="002B45DE" w:rsidRDefault="002B45DE" w:rsidP="002B45DE">
    <w:pPr>
      <w:spacing w:after="0"/>
      <w:ind w:left="709" w:firstLine="709"/>
      <w:jc w:val="right"/>
      <w:rPr>
        <w:rFonts w:ascii="Montserrat Light" w:hAnsi="Montserrat Light" w:cs="Arial"/>
        <w:b/>
        <w:color w:val="861D31"/>
        <w:sz w:val="28"/>
      </w:rPr>
    </w:pPr>
  </w:p>
  <w:p w14:paraId="768D5AF8" w14:textId="0EC356F8" w:rsidR="00213BFA" w:rsidRPr="00DF12BB" w:rsidRDefault="00213BFA" w:rsidP="00213BFA">
    <w:pPr>
      <w:spacing w:after="0"/>
      <w:ind w:left="709" w:firstLine="709"/>
      <w:jc w:val="right"/>
      <w:rPr>
        <w:rFonts w:ascii="Montserrat Light" w:hAnsi="Montserrat Light" w:cs="Arial"/>
        <w:b/>
        <w:color w:val="861D31"/>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15FB"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19D9B901" wp14:editId="509B235E">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CEED590" w14:textId="77777777" w:rsidR="0086126F" w:rsidRDefault="0086126F" w:rsidP="00C759BF"/>
                        <w:p w14:paraId="0183D2FA"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9D9B901"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CEED590" w14:textId="77777777" w:rsidR="0086126F" w:rsidRDefault="0086126F" w:rsidP="00C759BF"/>
                  <w:p w14:paraId="0183D2FA"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6AA8BC57" wp14:editId="664E44B9">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196FE6CC" w14:textId="77777777" w:rsidR="0086126F" w:rsidRDefault="0086126F" w:rsidP="00DA1D55">
    <w:pPr>
      <w:pStyle w:val="Encabezado"/>
      <w:ind w:right="141"/>
      <w:jc w:val="right"/>
      <w:rPr>
        <w:rFonts w:ascii="Montserrat Light" w:hAnsi="Montserrat Light" w:cs="Arial"/>
        <w:b/>
        <w:color w:val="861D31"/>
        <w:szCs w:val="20"/>
      </w:rPr>
    </w:pPr>
  </w:p>
  <w:p w14:paraId="74F5E4D1" w14:textId="77777777" w:rsidR="0086126F" w:rsidRDefault="0086126F">
    <w:pPr>
      <w:pStyle w:val="Encabezado"/>
    </w:pPr>
  </w:p>
  <w:p w14:paraId="1858156C" w14:textId="77777777" w:rsidR="0086126F" w:rsidRDefault="0086126F">
    <w:pPr>
      <w:pStyle w:val="Encabezado"/>
    </w:pPr>
  </w:p>
  <w:p w14:paraId="4768E507" w14:textId="0A6CF9D0" w:rsidR="0086126F" w:rsidRDefault="00C17101"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Documento de posición institucional</w:t>
    </w:r>
  </w:p>
  <w:p w14:paraId="638A5505" w14:textId="3032BC96" w:rsidR="00C17101" w:rsidRDefault="00C17101" w:rsidP="00213BFA">
    <w:pPr>
      <w:spacing w:after="0"/>
      <w:ind w:left="709" w:firstLine="709"/>
      <w:jc w:val="right"/>
      <w:rPr>
        <w:rFonts w:ascii="Montserrat Light" w:hAnsi="Montserrat Light" w:cs="Arial"/>
        <w:b/>
        <w:color w:val="861D31"/>
        <w:sz w:val="28"/>
      </w:rPr>
    </w:pPr>
  </w:p>
  <w:p w14:paraId="25798D14" w14:textId="77777777" w:rsidR="00E12CA5" w:rsidRPr="0086126F" w:rsidRDefault="00E12CA5" w:rsidP="00213BFA">
    <w:pPr>
      <w:spacing w:after="0"/>
      <w:ind w:left="709" w:firstLine="709"/>
      <w:jc w:val="right"/>
      <w:rPr>
        <w:rFonts w:ascii="Montserrat Light" w:hAnsi="Montserrat Light" w:cs="Arial"/>
        <w:b/>
        <w:color w:val="861D31"/>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2D1"/>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A322C3"/>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856F74"/>
    <w:multiLevelType w:val="hybridMultilevel"/>
    <w:tmpl w:val="06C87F10"/>
    <w:lvl w:ilvl="0" w:tplc="096491AA">
      <w:start w:val="1"/>
      <w:numFmt w:val="bullet"/>
      <w:lvlText w:val="•"/>
      <w:lvlJc w:val="left"/>
      <w:pPr>
        <w:tabs>
          <w:tab w:val="num" w:pos="720"/>
        </w:tabs>
        <w:ind w:left="720" w:hanging="360"/>
      </w:pPr>
      <w:rPr>
        <w:rFonts w:ascii="Arial" w:hAnsi="Arial" w:hint="default"/>
      </w:rPr>
    </w:lvl>
    <w:lvl w:ilvl="1" w:tplc="A85EA2A6" w:tentative="1">
      <w:start w:val="1"/>
      <w:numFmt w:val="bullet"/>
      <w:lvlText w:val="•"/>
      <w:lvlJc w:val="left"/>
      <w:pPr>
        <w:tabs>
          <w:tab w:val="num" w:pos="1440"/>
        </w:tabs>
        <w:ind w:left="1440" w:hanging="360"/>
      </w:pPr>
      <w:rPr>
        <w:rFonts w:ascii="Arial" w:hAnsi="Arial" w:hint="default"/>
      </w:rPr>
    </w:lvl>
    <w:lvl w:ilvl="2" w:tplc="285E0D18" w:tentative="1">
      <w:start w:val="1"/>
      <w:numFmt w:val="bullet"/>
      <w:lvlText w:val="•"/>
      <w:lvlJc w:val="left"/>
      <w:pPr>
        <w:tabs>
          <w:tab w:val="num" w:pos="2160"/>
        </w:tabs>
        <w:ind w:left="2160" w:hanging="360"/>
      </w:pPr>
      <w:rPr>
        <w:rFonts w:ascii="Arial" w:hAnsi="Arial" w:hint="default"/>
      </w:rPr>
    </w:lvl>
    <w:lvl w:ilvl="3" w:tplc="A6DCCE4E" w:tentative="1">
      <w:start w:val="1"/>
      <w:numFmt w:val="bullet"/>
      <w:lvlText w:val="•"/>
      <w:lvlJc w:val="left"/>
      <w:pPr>
        <w:tabs>
          <w:tab w:val="num" w:pos="2880"/>
        </w:tabs>
        <w:ind w:left="2880" w:hanging="360"/>
      </w:pPr>
      <w:rPr>
        <w:rFonts w:ascii="Arial" w:hAnsi="Arial" w:hint="default"/>
      </w:rPr>
    </w:lvl>
    <w:lvl w:ilvl="4" w:tplc="3014F81E" w:tentative="1">
      <w:start w:val="1"/>
      <w:numFmt w:val="bullet"/>
      <w:lvlText w:val="•"/>
      <w:lvlJc w:val="left"/>
      <w:pPr>
        <w:tabs>
          <w:tab w:val="num" w:pos="3600"/>
        </w:tabs>
        <w:ind w:left="3600" w:hanging="360"/>
      </w:pPr>
      <w:rPr>
        <w:rFonts w:ascii="Arial" w:hAnsi="Arial" w:hint="default"/>
      </w:rPr>
    </w:lvl>
    <w:lvl w:ilvl="5" w:tplc="3BC087EE" w:tentative="1">
      <w:start w:val="1"/>
      <w:numFmt w:val="bullet"/>
      <w:lvlText w:val="•"/>
      <w:lvlJc w:val="left"/>
      <w:pPr>
        <w:tabs>
          <w:tab w:val="num" w:pos="4320"/>
        </w:tabs>
        <w:ind w:left="4320" w:hanging="360"/>
      </w:pPr>
      <w:rPr>
        <w:rFonts w:ascii="Arial" w:hAnsi="Arial" w:hint="default"/>
      </w:rPr>
    </w:lvl>
    <w:lvl w:ilvl="6" w:tplc="2EAA8848" w:tentative="1">
      <w:start w:val="1"/>
      <w:numFmt w:val="bullet"/>
      <w:lvlText w:val="•"/>
      <w:lvlJc w:val="left"/>
      <w:pPr>
        <w:tabs>
          <w:tab w:val="num" w:pos="5040"/>
        </w:tabs>
        <w:ind w:left="5040" w:hanging="360"/>
      </w:pPr>
      <w:rPr>
        <w:rFonts w:ascii="Arial" w:hAnsi="Arial" w:hint="default"/>
      </w:rPr>
    </w:lvl>
    <w:lvl w:ilvl="7" w:tplc="D2DCFCB0" w:tentative="1">
      <w:start w:val="1"/>
      <w:numFmt w:val="bullet"/>
      <w:lvlText w:val="•"/>
      <w:lvlJc w:val="left"/>
      <w:pPr>
        <w:tabs>
          <w:tab w:val="num" w:pos="5760"/>
        </w:tabs>
        <w:ind w:left="5760" w:hanging="360"/>
      </w:pPr>
      <w:rPr>
        <w:rFonts w:ascii="Arial" w:hAnsi="Arial" w:hint="default"/>
      </w:rPr>
    </w:lvl>
    <w:lvl w:ilvl="8" w:tplc="85907B1E" w:tentative="1">
      <w:start w:val="1"/>
      <w:numFmt w:val="bullet"/>
      <w:lvlText w:val="•"/>
      <w:lvlJc w:val="left"/>
      <w:pPr>
        <w:tabs>
          <w:tab w:val="num" w:pos="6480"/>
        </w:tabs>
        <w:ind w:left="6480" w:hanging="360"/>
      </w:pPr>
      <w:rPr>
        <w:rFonts w:ascii="Arial" w:hAnsi="Arial" w:hint="default"/>
      </w:rPr>
    </w:lvl>
  </w:abstractNum>
  <w:abstractNum w:abstractNumId="3">
    <w:nsid w:val="2C980FDE"/>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0544A"/>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05F1CF3"/>
    <w:multiLevelType w:val="hybridMultilevel"/>
    <w:tmpl w:val="7BBA1112"/>
    <w:lvl w:ilvl="0" w:tplc="364417A8">
      <w:start w:val="1"/>
      <w:numFmt w:val="bullet"/>
      <w:lvlText w:val="•"/>
      <w:lvlJc w:val="left"/>
      <w:pPr>
        <w:tabs>
          <w:tab w:val="num" w:pos="720"/>
        </w:tabs>
        <w:ind w:left="720" w:hanging="360"/>
      </w:pPr>
      <w:rPr>
        <w:rFonts w:ascii="Arial" w:hAnsi="Arial" w:hint="default"/>
      </w:rPr>
    </w:lvl>
    <w:lvl w:ilvl="1" w:tplc="DF4ACFBA" w:tentative="1">
      <w:start w:val="1"/>
      <w:numFmt w:val="bullet"/>
      <w:lvlText w:val="•"/>
      <w:lvlJc w:val="left"/>
      <w:pPr>
        <w:tabs>
          <w:tab w:val="num" w:pos="1440"/>
        </w:tabs>
        <w:ind w:left="1440" w:hanging="360"/>
      </w:pPr>
      <w:rPr>
        <w:rFonts w:ascii="Arial" w:hAnsi="Arial" w:hint="default"/>
      </w:rPr>
    </w:lvl>
    <w:lvl w:ilvl="2" w:tplc="B164C324" w:tentative="1">
      <w:start w:val="1"/>
      <w:numFmt w:val="bullet"/>
      <w:lvlText w:val="•"/>
      <w:lvlJc w:val="left"/>
      <w:pPr>
        <w:tabs>
          <w:tab w:val="num" w:pos="2160"/>
        </w:tabs>
        <w:ind w:left="2160" w:hanging="360"/>
      </w:pPr>
      <w:rPr>
        <w:rFonts w:ascii="Arial" w:hAnsi="Arial" w:hint="default"/>
      </w:rPr>
    </w:lvl>
    <w:lvl w:ilvl="3" w:tplc="D99E154A" w:tentative="1">
      <w:start w:val="1"/>
      <w:numFmt w:val="bullet"/>
      <w:lvlText w:val="•"/>
      <w:lvlJc w:val="left"/>
      <w:pPr>
        <w:tabs>
          <w:tab w:val="num" w:pos="2880"/>
        </w:tabs>
        <w:ind w:left="2880" w:hanging="360"/>
      </w:pPr>
      <w:rPr>
        <w:rFonts w:ascii="Arial" w:hAnsi="Arial" w:hint="default"/>
      </w:rPr>
    </w:lvl>
    <w:lvl w:ilvl="4" w:tplc="1BD2BB8E" w:tentative="1">
      <w:start w:val="1"/>
      <w:numFmt w:val="bullet"/>
      <w:lvlText w:val="•"/>
      <w:lvlJc w:val="left"/>
      <w:pPr>
        <w:tabs>
          <w:tab w:val="num" w:pos="3600"/>
        </w:tabs>
        <w:ind w:left="3600" w:hanging="360"/>
      </w:pPr>
      <w:rPr>
        <w:rFonts w:ascii="Arial" w:hAnsi="Arial" w:hint="default"/>
      </w:rPr>
    </w:lvl>
    <w:lvl w:ilvl="5" w:tplc="AA0C19D4" w:tentative="1">
      <w:start w:val="1"/>
      <w:numFmt w:val="bullet"/>
      <w:lvlText w:val="•"/>
      <w:lvlJc w:val="left"/>
      <w:pPr>
        <w:tabs>
          <w:tab w:val="num" w:pos="4320"/>
        </w:tabs>
        <w:ind w:left="4320" w:hanging="360"/>
      </w:pPr>
      <w:rPr>
        <w:rFonts w:ascii="Arial" w:hAnsi="Arial" w:hint="default"/>
      </w:rPr>
    </w:lvl>
    <w:lvl w:ilvl="6" w:tplc="34945880" w:tentative="1">
      <w:start w:val="1"/>
      <w:numFmt w:val="bullet"/>
      <w:lvlText w:val="•"/>
      <w:lvlJc w:val="left"/>
      <w:pPr>
        <w:tabs>
          <w:tab w:val="num" w:pos="5040"/>
        </w:tabs>
        <w:ind w:left="5040" w:hanging="360"/>
      </w:pPr>
      <w:rPr>
        <w:rFonts w:ascii="Arial" w:hAnsi="Arial" w:hint="default"/>
      </w:rPr>
    </w:lvl>
    <w:lvl w:ilvl="7" w:tplc="8460E8F4" w:tentative="1">
      <w:start w:val="1"/>
      <w:numFmt w:val="bullet"/>
      <w:lvlText w:val="•"/>
      <w:lvlJc w:val="left"/>
      <w:pPr>
        <w:tabs>
          <w:tab w:val="num" w:pos="5760"/>
        </w:tabs>
        <w:ind w:left="5760" w:hanging="360"/>
      </w:pPr>
      <w:rPr>
        <w:rFonts w:ascii="Arial" w:hAnsi="Arial" w:hint="default"/>
      </w:rPr>
    </w:lvl>
    <w:lvl w:ilvl="8" w:tplc="951CEEB6" w:tentative="1">
      <w:start w:val="1"/>
      <w:numFmt w:val="bullet"/>
      <w:lvlText w:val="•"/>
      <w:lvlJc w:val="left"/>
      <w:pPr>
        <w:tabs>
          <w:tab w:val="num" w:pos="6480"/>
        </w:tabs>
        <w:ind w:left="6480" w:hanging="360"/>
      </w:pPr>
      <w:rPr>
        <w:rFonts w:ascii="Arial" w:hAnsi="Arial" w:hint="default"/>
      </w:rPr>
    </w:lvl>
  </w:abstractNum>
  <w:abstractNum w:abstractNumId="8">
    <w:nsid w:val="5D5C6082"/>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35010F"/>
    <w:multiLevelType w:val="hybridMultilevel"/>
    <w:tmpl w:val="A5B20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7"/>
  </w:num>
  <w:num w:numId="5">
    <w:abstractNumId w:val="10"/>
  </w:num>
  <w:num w:numId="6">
    <w:abstractNumId w:val="2"/>
  </w:num>
  <w:num w:numId="7">
    <w:abstractNumId w:val="8"/>
  </w:num>
  <w:num w:numId="8">
    <w:abstractNumId w:val="4"/>
  </w:num>
  <w:num w:numId="9">
    <w:abstractNumId w:val="1"/>
  </w:num>
  <w:num w:numId="10">
    <w:abstractNumId w:val="0"/>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63CC"/>
    <w:rsid w:val="00176AE2"/>
    <w:rsid w:val="001800BD"/>
    <w:rsid w:val="00182DAC"/>
    <w:rsid w:val="00184CB5"/>
    <w:rsid w:val="001933A0"/>
    <w:rsid w:val="0019373C"/>
    <w:rsid w:val="001A0E6E"/>
    <w:rsid w:val="001B0AC5"/>
    <w:rsid w:val="001C5275"/>
    <w:rsid w:val="001C71F7"/>
    <w:rsid w:val="001D187A"/>
    <w:rsid w:val="001E5983"/>
    <w:rsid w:val="001E66BD"/>
    <w:rsid w:val="001F0D23"/>
    <w:rsid w:val="001F2C2A"/>
    <w:rsid w:val="001F6318"/>
    <w:rsid w:val="0020020C"/>
    <w:rsid w:val="0020155A"/>
    <w:rsid w:val="002030DF"/>
    <w:rsid w:val="002051F1"/>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801B9"/>
    <w:rsid w:val="00281DFC"/>
    <w:rsid w:val="0028599A"/>
    <w:rsid w:val="00285C73"/>
    <w:rsid w:val="002903FB"/>
    <w:rsid w:val="00293605"/>
    <w:rsid w:val="00296056"/>
    <w:rsid w:val="002A29EE"/>
    <w:rsid w:val="002A318E"/>
    <w:rsid w:val="002B2C96"/>
    <w:rsid w:val="002B45DE"/>
    <w:rsid w:val="002C4CB9"/>
    <w:rsid w:val="002D1AFC"/>
    <w:rsid w:val="002D2E49"/>
    <w:rsid w:val="002D3EA7"/>
    <w:rsid w:val="002D457E"/>
    <w:rsid w:val="002E1A84"/>
    <w:rsid w:val="002E2401"/>
    <w:rsid w:val="002E2A68"/>
    <w:rsid w:val="002E4405"/>
    <w:rsid w:val="002E6DAC"/>
    <w:rsid w:val="002E7BC0"/>
    <w:rsid w:val="002F378E"/>
    <w:rsid w:val="00316A9C"/>
    <w:rsid w:val="00316C41"/>
    <w:rsid w:val="00323621"/>
    <w:rsid w:val="00325565"/>
    <w:rsid w:val="003270DD"/>
    <w:rsid w:val="00331966"/>
    <w:rsid w:val="00332B71"/>
    <w:rsid w:val="00332B81"/>
    <w:rsid w:val="00332CED"/>
    <w:rsid w:val="003414E8"/>
    <w:rsid w:val="00342BB1"/>
    <w:rsid w:val="00345DBF"/>
    <w:rsid w:val="00351B94"/>
    <w:rsid w:val="003578C1"/>
    <w:rsid w:val="003671EF"/>
    <w:rsid w:val="00375FD1"/>
    <w:rsid w:val="003800F3"/>
    <w:rsid w:val="003867E1"/>
    <w:rsid w:val="003954C6"/>
    <w:rsid w:val="003964B5"/>
    <w:rsid w:val="003C3463"/>
    <w:rsid w:val="003C5B02"/>
    <w:rsid w:val="003E326B"/>
    <w:rsid w:val="003E4BAA"/>
    <w:rsid w:val="003E6E57"/>
    <w:rsid w:val="003F09A1"/>
    <w:rsid w:val="003F0AF3"/>
    <w:rsid w:val="003F315D"/>
    <w:rsid w:val="003F34EA"/>
    <w:rsid w:val="003F5FE3"/>
    <w:rsid w:val="00410A1B"/>
    <w:rsid w:val="00413C04"/>
    <w:rsid w:val="0041452B"/>
    <w:rsid w:val="00416CC1"/>
    <w:rsid w:val="00425911"/>
    <w:rsid w:val="00431E65"/>
    <w:rsid w:val="004327A3"/>
    <w:rsid w:val="0044695A"/>
    <w:rsid w:val="004523C9"/>
    <w:rsid w:val="0045331D"/>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E59F6"/>
    <w:rsid w:val="004F1261"/>
    <w:rsid w:val="0050641D"/>
    <w:rsid w:val="00510CF9"/>
    <w:rsid w:val="00531BE3"/>
    <w:rsid w:val="00531C3D"/>
    <w:rsid w:val="005369D7"/>
    <w:rsid w:val="00550AFC"/>
    <w:rsid w:val="00555F51"/>
    <w:rsid w:val="005565AC"/>
    <w:rsid w:val="00564E3C"/>
    <w:rsid w:val="00575727"/>
    <w:rsid w:val="005773F7"/>
    <w:rsid w:val="005826E6"/>
    <w:rsid w:val="005845F6"/>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6A83"/>
    <w:rsid w:val="0065719B"/>
    <w:rsid w:val="00666BE5"/>
    <w:rsid w:val="00671A91"/>
    <w:rsid w:val="0068293A"/>
    <w:rsid w:val="00690BCC"/>
    <w:rsid w:val="0069467B"/>
    <w:rsid w:val="006A18AF"/>
    <w:rsid w:val="006A3D81"/>
    <w:rsid w:val="006A631C"/>
    <w:rsid w:val="006C0CCC"/>
    <w:rsid w:val="006D4E80"/>
    <w:rsid w:val="006E7E0D"/>
    <w:rsid w:val="006F122E"/>
    <w:rsid w:val="006F3A57"/>
    <w:rsid w:val="006F69D9"/>
    <w:rsid w:val="00700786"/>
    <w:rsid w:val="00702C7A"/>
    <w:rsid w:val="00705C1F"/>
    <w:rsid w:val="00707205"/>
    <w:rsid w:val="00720B4B"/>
    <w:rsid w:val="0073073B"/>
    <w:rsid w:val="00730743"/>
    <w:rsid w:val="00731311"/>
    <w:rsid w:val="00733EEE"/>
    <w:rsid w:val="00734B50"/>
    <w:rsid w:val="00744BBC"/>
    <w:rsid w:val="007450D4"/>
    <w:rsid w:val="00745E86"/>
    <w:rsid w:val="007513D2"/>
    <w:rsid w:val="007541F8"/>
    <w:rsid w:val="007610AB"/>
    <w:rsid w:val="00771385"/>
    <w:rsid w:val="00771945"/>
    <w:rsid w:val="00782C22"/>
    <w:rsid w:val="00784BFB"/>
    <w:rsid w:val="007862E9"/>
    <w:rsid w:val="00795792"/>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82F"/>
    <w:rsid w:val="008368E6"/>
    <w:rsid w:val="008405A6"/>
    <w:rsid w:val="00855D89"/>
    <w:rsid w:val="00857815"/>
    <w:rsid w:val="0085799F"/>
    <w:rsid w:val="00860E2B"/>
    <w:rsid w:val="0086126F"/>
    <w:rsid w:val="008726E2"/>
    <w:rsid w:val="00874C99"/>
    <w:rsid w:val="0088276D"/>
    <w:rsid w:val="00882D04"/>
    <w:rsid w:val="008905B0"/>
    <w:rsid w:val="00890761"/>
    <w:rsid w:val="008A0BCB"/>
    <w:rsid w:val="008A0CB2"/>
    <w:rsid w:val="008A49FC"/>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50021"/>
    <w:rsid w:val="0096110F"/>
    <w:rsid w:val="009768FB"/>
    <w:rsid w:val="00983315"/>
    <w:rsid w:val="009A182A"/>
    <w:rsid w:val="009A3BA4"/>
    <w:rsid w:val="009B3B2B"/>
    <w:rsid w:val="009B5E2C"/>
    <w:rsid w:val="009B795A"/>
    <w:rsid w:val="009C2A50"/>
    <w:rsid w:val="009C5D0D"/>
    <w:rsid w:val="009C6FE2"/>
    <w:rsid w:val="009D58D9"/>
    <w:rsid w:val="009D7FB9"/>
    <w:rsid w:val="009E7DF9"/>
    <w:rsid w:val="009F12A7"/>
    <w:rsid w:val="009F20AE"/>
    <w:rsid w:val="009F257D"/>
    <w:rsid w:val="009F6A31"/>
    <w:rsid w:val="009F71F6"/>
    <w:rsid w:val="00A0130B"/>
    <w:rsid w:val="00A06B19"/>
    <w:rsid w:val="00A06C49"/>
    <w:rsid w:val="00A12B2E"/>
    <w:rsid w:val="00A16C5A"/>
    <w:rsid w:val="00A3027C"/>
    <w:rsid w:val="00A30BA4"/>
    <w:rsid w:val="00A342A7"/>
    <w:rsid w:val="00A349AA"/>
    <w:rsid w:val="00A41EEE"/>
    <w:rsid w:val="00A45C63"/>
    <w:rsid w:val="00A46A7F"/>
    <w:rsid w:val="00A564F9"/>
    <w:rsid w:val="00A609A3"/>
    <w:rsid w:val="00A62C84"/>
    <w:rsid w:val="00A631C2"/>
    <w:rsid w:val="00A65303"/>
    <w:rsid w:val="00A7110A"/>
    <w:rsid w:val="00A74CCC"/>
    <w:rsid w:val="00A82DED"/>
    <w:rsid w:val="00A84C9A"/>
    <w:rsid w:val="00A97B59"/>
    <w:rsid w:val="00AA2447"/>
    <w:rsid w:val="00AA3309"/>
    <w:rsid w:val="00AA45DE"/>
    <w:rsid w:val="00AB5C90"/>
    <w:rsid w:val="00AC54AF"/>
    <w:rsid w:val="00AC620E"/>
    <w:rsid w:val="00AD0ADD"/>
    <w:rsid w:val="00AE0BD1"/>
    <w:rsid w:val="00AE4E69"/>
    <w:rsid w:val="00AE5C01"/>
    <w:rsid w:val="00B10612"/>
    <w:rsid w:val="00B106BE"/>
    <w:rsid w:val="00B20F0E"/>
    <w:rsid w:val="00B22ADF"/>
    <w:rsid w:val="00B24DE7"/>
    <w:rsid w:val="00B3544D"/>
    <w:rsid w:val="00B35EB8"/>
    <w:rsid w:val="00B435F5"/>
    <w:rsid w:val="00B479EB"/>
    <w:rsid w:val="00B5124C"/>
    <w:rsid w:val="00B51B31"/>
    <w:rsid w:val="00B614DF"/>
    <w:rsid w:val="00B71DBF"/>
    <w:rsid w:val="00BA15E8"/>
    <w:rsid w:val="00BA1B67"/>
    <w:rsid w:val="00BA222E"/>
    <w:rsid w:val="00BA4A59"/>
    <w:rsid w:val="00BA5D2B"/>
    <w:rsid w:val="00BB05A3"/>
    <w:rsid w:val="00BB0885"/>
    <w:rsid w:val="00BB130C"/>
    <w:rsid w:val="00BC2055"/>
    <w:rsid w:val="00BC2B7A"/>
    <w:rsid w:val="00BC5E9C"/>
    <w:rsid w:val="00BD25CC"/>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26BE"/>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05A0"/>
    <w:rsid w:val="00CD34D2"/>
    <w:rsid w:val="00CE4A77"/>
    <w:rsid w:val="00CF511B"/>
    <w:rsid w:val="00CF57AE"/>
    <w:rsid w:val="00CF5AB2"/>
    <w:rsid w:val="00D058B0"/>
    <w:rsid w:val="00D10D79"/>
    <w:rsid w:val="00D1436F"/>
    <w:rsid w:val="00D15AF3"/>
    <w:rsid w:val="00D16047"/>
    <w:rsid w:val="00D2217D"/>
    <w:rsid w:val="00D24595"/>
    <w:rsid w:val="00D25EA5"/>
    <w:rsid w:val="00D31A79"/>
    <w:rsid w:val="00D33ED2"/>
    <w:rsid w:val="00D54A9B"/>
    <w:rsid w:val="00D557F6"/>
    <w:rsid w:val="00D617BA"/>
    <w:rsid w:val="00D63AE8"/>
    <w:rsid w:val="00D71101"/>
    <w:rsid w:val="00D77276"/>
    <w:rsid w:val="00D8019A"/>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2843"/>
    <w:rsid w:val="00EE0924"/>
    <w:rsid w:val="00EE14A0"/>
    <w:rsid w:val="00EE32E3"/>
    <w:rsid w:val="00F0320D"/>
    <w:rsid w:val="00F16821"/>
    <w:rsid w:val="00F16885"/>
    <w:rsid w:val="00F24D1A"/>
    <w:rsid w:val="00F2576D"/>
    <w:rsid w:val="00F26D0B"/>
    <w:rsid w:val="00F33E30"/>
    <w:rsid w:val="00F36ECC"/>
    <w:rsid w:val="00F46C22"/>
    <w:rsid w:val="00F51A08"/>
    <w:rsid w:val="00F75E9D"/>
    <w:rsid w:val="00F77312"/>
    <w:rsid w:val="00F8367D"/>
    <w:rsid w:val="00F963E2"/>
    <w:rsid w:val="00FA04A3"/>
    <w:rsid w:val="00FA1BB9"/>
    <w:rsid w:val="00FA7D41"/>
    <w:rsid w:val="00FB0820"/>
    <w:rsid w:val="00FB1BFB"/>
    <w:rsid w:val="00FB1F72"/>
    <w:rsid w:val="00FB204C"/>
    <w:rsid w:val="00FB4127"/>
    <w:rsid w:val="00FC30E6"/>
    <w:rsid w:val="00FE44F0"/>
    <w:rsid w:val="00FF53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02128670">
      <w:bodyDiv w:val="1"/>
      <w:marLeft w:val="0"/>
      <w:marRight w:val="0"/>
      <w:marTop w:val="0"/>
      <w:marBottom w:val="0"/>
      <w:divBdr>
        <w:top w:val="none" w:sz="0" w:space="0" w:color="auto"/>
        <w:left w:val="none" w:sz="0" w:space="0" w:color="auto"/>
        <w:bottom w:val="none" w:sz="0" w:space="0" w:color="auto"/>
        <w:right w:val="none" w:sz="0" w:space="0" w:color="auto"/>
      </w:divBdr>
      <w:divsChild>
        <w:div w:id="900603942">
          <w:marLeft w:val="274"/>
          <w:marRight w:val="0"/>
          <w:marTop w:val="0"/>
          <w:marBottom w:val="0"/>
          <w:divBdr>
            <w:top w:val="none" w:sz="0" w:space="0" w:color="auto"/>
            <w:left w:val="none" w:sz="0" w:space="0" w:color="auto"/>
            <w:bottom w:val="none" w:sz="0" w:space="0" w:color="auto"/>
            <w:right w:val="none" w:sz="0" w:space="0" w:color="auto"/>
          </w:divBdr>
        </w:div>
      </w:divsChild>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53061078">
      <w:bodyDiv w:val="1"/>
      <w:marLeft w:val="0"/>
      <w:marRight w:val="0"/>
      <w:marTop w:val="0"/>
      <w:marBottom w:val="0"/>
      <w:divBdr>
        <w:top w:val="none" w:sz="0" w:space="0" w:color="auto"/>
        <w:left w:val="none" w:sz="0" w:space="0" w:color="auto"/>
        <w:bottom w:val="none" w:sz="0" w:space="0" w:color="auto"/>
        <w:right w:val="none" w:sz="0" w:space="0" w:color="auto"/>
      </w:divBdr>
      <w:divsChild>
        <w:div w:id="893126432">
          <w:marLeft w:val="274"/>
          <w:marRight w:val="0"/>
          <w:marTop w:val="0"/>
          <w:marBottom w:val="0"/>
          <w:divBdr>
            <w:top w:val="none" w:sz="0" w:space="0" w:color="auto"/>
            <w:left w:val="none" w:sz="0" w:space="0" w:color="auto"/>
            <w:bottom w:val="none" w:sz="0" w:space="0" w:color="auto"/>
            <w:right w:val="none" w:sz="0" w:space="0" w:color="auto"/>
          </w:divBdr>
        </w:div>
      </w:divsChild>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7101-34C8-4BFD-B0EA-C724BF31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3593</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3</cp:revision>
  <cp:lastPrinted>2020-12-11T16:56:00Z</cp:lastPrinted>
  <dcterms:created xsi:type="dcterms:W3CDTF">2020-11-25T17:00:00Z</dcterms:created>
  <dcterms:modified xsi:type="dcterms:W3CDTF">2020-12-11T16:56:00Z</dcterms:modified>
</cp:coreProperties>
</file>