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56" w:type="dxa"/>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3144"/>
        <w:gridCol w:w="6242"/>
      </w:tblGrid>
      <w:tr w:rsidR="00091285" w:rsidRPr="00E1388F" w14:paraId="31D6CD34" w14:textId="77777777" w:rsidTr="003578C1">
        <w:trPr>
          <w:trHeight w:val="300"/>
          <w:tblCellSpacing w:w="20" w:type="dxa"/>
        </w:trPr>
        <w:tc>
          <w:tcPr>
            <w:tcW w:w="3054" w:type="dxa"/>
            <w:shd w:val="clear" w:color="auto" w:fill="BFBFBF" w:themeFill="background1" w:themeFillShade="BF"/>
            <w:noWrap/>
            <w:vAlign w:val="center"/>
            <w:hideMark/>
          </w:tcPr>
          <w:p w14:paraId="73C7FAE7" w14:textId="087C0D5F" w:rsidR="00091285" w:rsidRPr="00AA45DE" w:rsidRDefault="00091285" w:rsidP="009F20AE">
            <w:pPr>
              <w:spacing w:after="0" w:line="240" w:lineRule="auto"/>
              <w:rPr>
                <w:rFonts w:eastAsia="Times New Roman"/>
                <w:b/>
                <w:bCs/>
                <w:color w:val="000000" w:themeColor="text1"/>
                <w:sz w:val="24"/>
                <w:szCs w:val="24"/>
                <w:lang w:eastAsia="es-MX"/>
              </w:rPr>
            </w:pPr>
            <w:r w:rsidRPr="00AA45DE">
              <w:rPr>
                <w:rFonts w:eastAsia="Times New Roman"/>
                <w:b/>
                <w:bCs/>
                <w:color w:val="000000" w:themeColor="text1"/>
                <w:sz w:val="24"/>
                <w:szCs w:val="24"/>
                <w:lang w:eastAsia="es-MX"/>
              </w:rPr>
              <w:t>Nombre del programa:</w:t>
            </w:r>
          </w:p>
        </w:tc>
        <w:tc>
          <w:tcPr>
            <w:tcW w:w="6182" w:type="dxa"/>
            <w:shd w:val="clear" w:color="auto" w:fill="BFBFBF" w:themeFill="background1" w:themeFillShade="BF"/>
            <w:vAlign w:val="bottom"/>
          </w:tcPr>
          <w:p w14:paraId="00ED7CBB" w14:textId="6C0A22AD" w:rsidR="00091285" w:rsidRPr="00AA45DE" w:rsidRDefault="00C62DBD" w:rsidP="00E1388F">
            <w:pPr>
              <w:spacing w:after="0" w:line="240" w:lineRule="auto"/>
              <w:rPr>
                <w:rFonts w:eastAsia="Times New Roman"/>
                <w:b/>
                <w:bCs/>
                <w:color w:val="000000" w:themeColor="text1"/>
                <w:sz w:val="24"/>
                <w:szCs w:val="24"/>
                <w:lang w:eastAsia="es-MX"/>
              </w:rPr>
            </w:pPr>
            <w:r>
              <w:rPr>
                <w:rFonts w:eastAsia="Times New Roman"/>
                <w:b/>
                <w:bCs/>
                <w:color w:val="000000" w:themeColor="text1"/>
                <w:sz w:val="24"/>
                <w:szCs w:val="24"/>
                <w:lang w:eastAsia="es-MX"/>
              </w:rPr>
              <w:t>Fondo de Aportaciones para los Servicios de Salud (FASSA)</w:t>
            </w:r>
          </w:p>
        </w:tc>
      </w:tr>
      <w:tr w:rsidR="00091285" w:rsidRPr="00E1388F" w14:paraId="6F6202EB" w14:textId="77777777" w:rsidTr="003578C1">
        <w:trPr>
          <w:trHeight w:val="300"/>
          <w:tblCellSpacing w:w="20" w:type="dxa"/>
        </w:trPr>
        <w:tc>
          <w:tcPr>
            <w:tcW w:w="3054" w:type="dxa"/>
            <w:shd w:val="clear" w:color="auto" w:fill="BFBFBF" w:themeFill="background1" w:themeFillShade="BF"/>
            <w:noWrap/>
            <w:vAlign w:val="center"/>
          </w:tcPr>
          <w:p w14:paraId="238432D7" w14:textId="431A00F3" w:rsidR="00091285" w:rsidRPr="00AA45DE" w:rsidRDefault="00091285" w:rsidP="009F20AE">
            <w:pPr>
              <w:spacing w:after="0" w:line="240" w:lineRule="auto"/>
              <w:rPr>
                <w:rFonts w:eastAsia="Times New Roman"/>
                <w:b/>
                <w:bCs/>
                <w:color w:val="000000" w:themeColor="text1"/>
                <w:sz w:val="24"/>
                <w:szCs w:val="24"/>
                <w:lang w:eastAsia="es-MX"/>
              </w:rPr>
            </w:pPr>
            <w:r w:rsidRPr="00AA45DE">
              <w:rPr>
                <w:rFonts w:eastAsia="Times New Roman"/>
                <w:b/>
                <w:bCs/>
                <w:color w:val="000000" w:themeColor="text1"/>
                <w:sz w:val="24"/>
                <w:szCs w:val="24"/>
                <w:lang w:eastAsia="es-MX"/>
              </w:rPr>
              <w:t>Dependencia/entidad:</w:t>
            </w:r>
          </w:p>
        </w:tc>
        <w:tc>
          <w:tcPr>
            <w:tcW w:w="6182" w:type="dxa"/>
            <w:shd w:val="clear" w:color="auto" w:fill="BFBFBF" w:themeFill="background1" w:themeFillShade="BF"/>
            <w:vAlign w:val="bottom"/>
          </w:tcPr>
          <w:p w14:paraId="219F17D5" w14:textId="5BE124E2" w:rsidR="00091285" w:rsidRPr="00AA45DE" w:rsidRDefault="00C62DBD" w:rsidP="00E1388F">
            <w:pPr>
              <w:spacing w:after="0" w:line="240" w:lineRule="auto"/>
              <w:rPr>
                <w:rFonts w:eastAsia="Times New Roman"/>
                <w:b/>
                <w:bCs/>
                <w:color w:val="000000" w:themeColor="text1"/>
                <w:sz w:val="24"/>
                <w:szCs w:val="24"/>
                <w:lang w:eastAsia="es-MX"/>
              </w:rPr>
            </w:pPr>
            <w:r>
              <w:rPr>
                <w:rFonts w:eastAsia="Times New Roman"/>
                <w:b/>
                <w:bCs/>
                <w:color w:val="000000" w:themeColor="text1"/>
                <w:sz w:val="24"/>
                <w:szCs w:val="24"/>
                <w:lang w:eastAsia="es-MX"/>
              </w:rPr>
              <w:t>Servicios de Salud de Sinaloa / Sinaloa</w:t>
            </w:r>
          </w:p>
        </w:tc>
      </w:tr>
      <w:tr w:rsidR="00091285" w:rsidRPr="00E1388F" w14:paraId="180EC860" w14:textId="77777777" w:rsidTr="003578C1">
        <w:trPr>
          <w:trHeight w:val="300"/>
          <w:tblCellSpacing w:w="20" w:type="dxa"/>
        </w:trPr>
        <w:tc>
          <w:tcPr>
            <w:tcW w:w="3054" w:type="dxa"/>
            <w:shd w:val="clear" w:color="auto" w:fill="BFBFBF" w:themeFill="background1" w:themeFillShade="BF"/>
            <w:noWrap/>
            <w:vAlign w:val="center"/>
          </w:tcPr>
          <w:p w14:paraId="50DFFD48" w14:textId="5873994E" w:rsidR="00091285" w:rsidRPr="00AA45DE" w:rsidRDefault="00091285" w:rsidP="009F20AE">
            <w:pPr>
              <w:spacing w:after="0" w:line="240" w:lineRule="auto"/>
              <w:rPr>
                <w:rFonts w:eastAsia="Times New Roman"/>
                <w:b/>
                <w:bCs/>
                <w:color w:val="000000" w:themeColor="text1"/>
                <w:sz w:val="24"/>
                <w:szCs w:val="24"/>
                <w:lang w:eastAsia="es-MX"/>
              </w:rPr>
            </w:pPr>
            <w:r w:rsidRPr="00AA45DE">
              <w:rPr>
                <w:rFonts w:eastAsia="Times New Roman"/>
                <w:b/>
                <w:bCs/>
                <w:color w:val="000000" w:themeColor="text1"/>
                <w:sz w:val="24"/>
                <w:szCs w:val="24"/>
                <w:lang w:eastAsia="es-MX"/>
              </w:rPr>
              <w:t>Unidad responsable del programa:</w:t>
            </w:r>
          </w:p>
        </w:tc>
        <w:tc>
          <w:tcPr>
            <w:tcW w:w="6182" w:type="dxa"/>
            <w:shd w:val="clear" w:color="auto" w:fill="BFBFBF" w:themeFill="background1" w:themeFillShade="BF"/>
            <w:vAlign w:val="bottom"/>
          </w:tcPr>
          <w:p w14:paraId="3C049D2E" w14:textId="29A87D13" w:rsidR="00091285" w:rsidRPr="00AA45DE" w:rsidRDefault="00E9281D" w:rsidP="00E1388F">
            <w:pPr>
              <w:spacing w:after="0" w:line="240" w:lineRule="auto"/>
              <w:rPr>
                <w:rFonts w:eastAsia="Times New Roman"/>
                <w:b/>
                <w:bCs/>
                <w:color w:val="000000" w:themeColor="text1"/>
                <w:sz w:val="24"/>
                <w:szCs w:val="24"/>
                <w:lang w:eastAsia="es-MX"/>
              </w:rPr>
            </w:pPr>
            <w:r>
              <w:rPr>
                <w:rFonts w:eastAsia="Times New Roman"/>
                <w:b/>
                <w:bCs/>
                <w:color w:val="000000" w:themeColor="text1"/>
                <w:sz w:val="24"/>
                <w:szCs w:val="24"/>
                <w:lang w:eastAsia="es-MX"/>
              </w:rPr>
              <w:t>Dirección Administrativa</w:t>
            </w:r>
          </w:p>
        </w:tc>
      </w:tr>
      <w:tr w:rsidR="00091285" w:rsidRPr="00E1388F" w14:paraId="08D13584" w14:textId="77777777" w:rsidTr="003578C1">
        <w:trPr>
          <w:trHeight w:val="300"/>
          <w:tblCellSpacing w:w="20" w:type="dxa"/>
        </w:trPr>
        <w:tc>
          <w:tcPr>
            <w:tcW w:w="3054" w:type="dxa"/>
            <w:shd w:val="clear" w:color="auto" w:fill="BFBFBF" w:themeFill="background1" w:themeFillShade="BF"/>
            <w:noWrap/>
            <w:vAlign w:val="center"/>
          </w:tcPr>
          <w:p w14:paraId="13DBBB96" w14:textId="0790F9A8" w:rsidR="00091285" w:rsidRPr="00AA45DE" w:rsidRDefault="00091285" w:rsidP="009F20AE">
            <w:pPr>
              <w:spacing w:after="0" w:line="240" w:lineRule="auto"/>
              <w:rPr>
                <w:rFonts w:eastAsia="Times New Roman"/>
                <w:b/>
                <w:bCs/>
                <w:color w:val="000000" w:themeColor="text1"/>
                <w:sz w:val="24"/>
                <w:szCs w:val="24"/>
                <w:lang w:eastAsia="es-MX"/>
              </w:rPr>
            </w:pPr>
            <w:r w:rsidRPr="00AA45DE">
              <w:rPr>
                <w:rFonts w:eastAsia="Times New Roman"/>
                <w:b/>
                <w:bCs/>
                <w:color w:val="000000" w:themeColor="text1"/>
                <w:sz w:val="24"/>
                <w:szCs w:val="24"/>
                <w:lang w:eastAsia="es-MX"/>
              </w:rPr>
              <w:t>Tipo de evaluación:</w:t>
            </w:r>
          </w:p>
        </w:tc>
        <w:tc>
          <w:tcPr>
            <w:tcW w:w="6182" w:type="dxa"/>
            <w:shd w:val="clear" w:color="auto" w:fill="BFBFBF" w:themeFill="background1" w:themeFillShade="BF"/>
            <w:vAlign w:val="bottom"/>
          </w:tcPr>
          <w:p w14:paraId="6FB834DF" w14:textId="1C4FEE13" w:rsidR="00091285" w:rsidRPr="00AA45DE" w:rsidRDefault="00E9281D" w:rsidP="00E1388F">
            <w:pPr>
              <w:spacing w:after="0" w:line="240" w:lineRule="auto"/>
              <w:rPr>
                <w:rFonts w:eastAsia="Times New Roman"/>
                <w:b/>
                <w:bCs/>
                <w:color w:val="000000" w:themeColor="text1"/>
                <w:sz w:val="24"/>
                <w:szCs w:val="24"/>
                <w:lang w:eastAsia="es-MX"/>
              </w:rPr>
            </w:pPr>
            <w:r>
              <w:rPr>
                <w:rFonts w:eastAsia="Times New Roman"/>
                <w:b/>
                <w:bCs/>
                <w:color w:val="000000" w:themeColor="text1"/>
                <w:sz w:val="24"/>
                <w:szCs w:val="24"/>
                <w:lang w:eastAsia="es-MX"/>
              </w:rPr>
              <w:t>Externa Específica al Desempeño</w:t>
            </w:r>
          </w:p>
        </w:tc>
      </w:tr>
      <w:tr w:rsidR="00091285" w:rsidRPr="00E1388F" w14:paraId="0AAD0A04" w14:textId="77777777" w:rsidTr="003578C1">
        <w:trPr>
          <w:trHeight w:val="300"/>
          <w:tblCellSpacing w:w="20" w:type="dxa"/>
        </w:trPr>
        <w:tc>
          <w:tcPr>
            <w:tcW w:w="3054" w:type="dxa"/>
            <w:shd w:val="clear" w:color="auto" w:fill="BFBFBF" w:themeFill="background1" w:themeFillShade="BF"/>
            <w:noWrap/>
            <w:vAlign w:val="center"/>
          </w:tcPr>
          <w:p w14:paraId="7B3C4A1F" w14:textId="16F0DC64" w:rsidR="00091285" w:rsidRPr="00AA45DE" w:rsidRDefault="00091285" w:rsidP="009F20AE">
            <w:pPr>
              <w:spacing w:after="0" w:line="240" w:lineRule="auto"/>
              <w:rPr>
                <w:rFonts w:eastAsia="Times New Roman"/>
                <w:b/>
                <w:bCs/>
                <w:color w:val="000000" w:themeColor="text1"/>
                <w:sz w:val="24"/>
                <w:szCs w:val="24"/>
                <w:lang w:eastAsia="es-MX"/>
              </w:rPr>
            </w:pPr>
            <w:r w:rsidRPr="00AA45DE">
              <w:rPr>
                <w:rFonts w:eastAsia="Times New Roman"/>
                <w:b/>
                <w:bCs/>
                <w:color w:val="000000" w:themeColor="text1"/>
                <w:sz w:val="24"/>
                <w:szCs w:val="24"/>
                <w:lang w:eastAsia="es-MX"/>
              </w:rPr>
              <w:t>Año de evaluación:</w:t>
            </w:r>
          </w:p>
        </w:tc>
        <w:tc>
          <w:tcPr>
            <w:tcW w:w="6182" w:type="dxa"/>
            <w:shd w:val="clear" w:color="auto" w:fill="BFBFBF" w:themeFill="background1" w:themeFillShade="BF"/>
            <w:vAlign w:val="bottom"/>
          </w:tcPr>
          <w:p w14:paraId="52F48C09" w14:textId="6750CA71" w:rsidR="00091285" w:rsidRPr="00AA45DE" w:rsidRDefault="00C62DBD" w:rsidP="00E1388F">
            <w:pPr>
              <w:spacing w:after="0" w:line="240" w:lineRule="auto"/>
              <w:rPr>
                <w:rFonts w:eastAsia="Times New Roman"/>
                <w:b/>
                <w:bCs/>
                <w:color w:val="000000" w:themeColor="text1"/>
                <w:sz w:val="24"/>
                <w:szCs w:val="24"/>
                <w:lang w:eastAsia="es-MX"/>
              </w:rPr>
            </w:pPr>
            <w:r>
              <w:rPr>
                <w:rFonts w:eastAsia="Times New Roman"/>
                <w:b/>
                <w:bCs/>
                <w:color w:val="000000" w:themeColor="text1"/>
                <w:sz w:val="24"/>
                <w:szCs w:val="24"/>
                <w:lang w:eastAsia="es-MX"/>
              </w:rPr>
              <w:t>2019</w:t>
            </w:r>
          </w:p>
        </w:tc>
      </w:tr>
      <w:tr w:rsidR="00091285" w:rsidRPr="00E1388F" w14:paraId="0F5B205E" w14:textId="77777777" w:rsidTr="003578C1">
        <w:trPr>
          <w:trHeight w:val="300"/>
          <w:tblCellSpacing w:w="20" w:type="dxa"/>
        </w:trPr>
        <w:tc>
          <w:tcPr>
            <w:tcW w:w="9276" w:type="dxa"/>
            <w:gridSpan w:val="2"/>
            <w:shd w:val="clear" w:color="auto" w:fill="861D31"/>
            <w:noWrap/>
            <w:vAlign w:val="center"/>
          </w:tcPr>
          <w:p w14:paraId="5218755C" w14:textId="15263EF0" w:rsidR="00091285" w:rsidRPr="00AA45DE" w:rsidRDefault="00AA45DE" w:rsidP="009F20AE">
            <w:pPr>
              <w:pStyle w:val="Prrafodelista"/>
              <w:numPr>
                <w:ilvl w:val="0"/>
                <w:numId w:val="41"/>
              </w:numPr>
              <w:spacing w:after="0" w:line="240" w:lineRule="auto"/>
              <w:jc w:val="center"/>
              <w:rPr>
                <w:rFonts w:eastAsia="Times New Roman"/>
                <w:b/>
                <w:bCs/>
                <w:color w:val="F2F2F2" w:themeColor="background1" w:themeShade="F2"/>
                <w:lang w:eastAsia="es-MX"/>
              </w:rPr>
            </w:pPr>
            <w:r>
              <w:rPr>
                <w:rFonts w:eastAsia="Times New Roman"/>
                <w:b/>
                <w:bCs/>
                <w:color w:val="F2F2F2" w:themeColor="background1" w:themeShade="F2"/>
                <w:lang w:eastAsia="es-MX"/>
              </w:rPr>
              <w:t>Uso de los hallazgos de la evaluación</w:t>
            </w:r>
          </w:p>
        </w:tc>
      </w:tr>
    </w:tbl>
    <w:tbl>
      <w:tblPr>
        <w:tblStyle w:val="Tablaconcuadrcula"/>
        <w:tblpPr w:leftFromText="141" w:rightFromText="141" w:vertAnchor="text" w:tblpX="-10" w:tblpY="1"/>
        <w:tblOverlap w:val="never"/>
        <w:tblW w:w="93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37"/>
        <w:gridCol w:w="2987"/>
        <w:gridCol w:w="1832"/>
      </w:tblGrid>
      <w:tr w:rsidR="00702DF7" w:rsidRPr="00F77312" w14:paraId="0B57A309" w14:textId="77777777" w:rsidTr="00037EBE">
        <w:tc>
          <w:tcPr>
            <w:tcW w:w="4537" w:type="dxa"/>
            <w:shd w:val="clear" w:color="auto" w:fill="861D31"/>
            <w:vAlign w:val="center"/>
          </w:tcPr>
          <w:p w14:paraId="663B141F" w14:textId="77777777" w:rsidR="00702DF7" w:rsidRPr="00F77312" w:rsidRDefault="00702DF7" w:rsidP="00037EBE">
            <w:pPr>
              <w:spacing w:after="0"/>
              <w:jc w:val="center"/>
              <w:rPr>
                <w:b/>
                <w:bCs/>
                <w:color w:val="F2F2F2" w:themeColor="background1" w:themeShade="F2"/>
              </w:rPr>
            </w:pPr>
            <w:r>
              <w:rPr>
                <w:b/>
                <w:bCs/>
                <w:color w:val="F2F2F2" w:themeColor="background1" w:themeShade="F2"/>
              </w:rPr>
              <w:t>Texto del Informe</w:t>
            </w:r>
          </w:p>
        </w:tc>
        <w:tc>
          <w:tcPr>
            <w:tcW w:w="2987" w:type="dxa"/>
            <w:shd w:val="clear" w:color="auto" w:fill="861D31"/>
            <w:vAlign w:val="center"/>
          </w:tcPr>
          <w:p w14:paraId="037FD5FD" w14:textId="77777777" w:rsidR="00702DF7" w:rsidRPr="00F77312" w:rsidRDefault="00702DF7" w:rsidP="00037EBE">
            <w:pPr>
              <w:spacing w:after="0"/>
              <w:jc w:val="center"/>
              <w:rPr>
                <w:b/>
                <w:bCs/>
                <w:color w:val="F2F2F2" w:themeColor="background1" w:themeShade="F2"/>
              </w:rPr>
            </w:pPr>
            <w:r>
              <w:rPr>
                <w:b/>
                <w:bCs/>
                <w:color w:val="F2F2F2" w:themeColor="background1" w:themeShade="F2"/>
              </w:rPr>
              <w:t>Punto de vista de la Dependencia o Entidad</w:t>
            </w:r>
          </w:p>
        </w:tc>
        <w:tc>
          <w:tcPr>
            <w:tcW w:w="1832" w:type="dxa"/>
            <w:shd w:val="clear" w:color="auto" w:fill="861D31"/>
            <w:vAlign w:val="center"/>
          </w:tcPr>
          <w:p w14:paraId="5A410487" w14:textId="77777777" w:rsidR="00702DF7" w:rsidRPr="00F77312" w:rsidRDefault="00702DF7" w:rsidP="00037EBE">
            <w:pPr>
              <w:spacing w:after="0"/>
              <w:jc w:val="center"/>
              <w:rPr>
                <w:b/>
                <w:bCs/>
                <w:color w:val="F2F2F2" w:themeColor="background1" w:themeShade="F2"/>
              </w:rPr>
            </w:pPr>
            <w:r>
              <w:rPr>
                <w:b/>
                <w:bCs/>
                <w:color w:val="F2F2F2" w:themeColor="background1" w:themeShade="F2"/>
              </w:rPr>
              <w:t>Acción de mejora derivada de la evaluación</w:t>
            </w:r>
          </w:p>
        </w:tc>
      </w:tr>
      <w:tr w:rsidR="00702DF7" w14:paraId="674AFC38" w14:textId="77777777" w:rsidTr="00037EBE">
        <w:tc>
          <w:tcPr>
            <w:tcW w:w="4537" w:type="dxa"/>
          </w:tcPr>
          <w:p w14:paraId="3C164AA4" w14:textId="77777777" w:rsidR="00702DF7" w:rsidRDefault="00702DF7" w:rsidP="00037EBE">
            <w:pPr>
              <w:spacing w:after="0"/>
              <w:jc w:val="both"/>
            </w:pPr>
            <w:r>
              <w:t>No existe un método claro y sistemático para la priorización de necesidades. Tampoco fue posible identificar criterios consensuados respecto a lo que constituye una necesidad insatisfecha factible de atención. Esto puede permitir que se asigne discrecionalmente los recursos independientes de los objetivos normativos del fondo.</w:t>
            </w:r>
          </w:p>
          <w:p w14:paraId="3E3A3C29" w14:textId="77777777" w:rsidR="00702DF7" w:rsidRDefault="00702DF7" w:rsidP="00037EBE">
            <w:pPr>
              <w:spacing w:after="0"/>
              <w:jc w:val="both"/>
            </w:pPr>
            <w:r>
              <w:t>Débil coordinación de las instancias federales y estatales para definir en conjuntos los criterios de cobertura de los programas de atención a la salud en las entidades.</w:t>
            </w:r>
          </w:p>
          <w:p w14:paraId="5B22CEC7" w14:textId="77777777" w:rsidR="00702DF7" w:rsidRDefault="00702DF7" w:rsidP="00037EBE">
            <w:pPr>
              <w:spacing w:after="0"/>
              <w:jc w:val="both"/>
            </w:pPr>
          </w:p>
        </w:tc>
        <w:tc>
          <w:tcPr>
            <w:tcW w:w="2987" w:type="dxa"/>
          </w:tcPr>
          <w:p w14:paraId="616398FC" w14:textId="77777777" w:rsidR="00702DF7" w:rsidRPr="003414E8" w:rsidRDefault="00702DF7" w:rsidP="00037EBE">
            <w:pPr>
              <w:spacing w:after="0"/>
              <w:rPr>
                <w:i/>
                <w:iCs/>
                <w:color w:val="861D31"/>
              </w:rPr>
            </w:pPr>
            <w:r w:rsidRPr="003414E8">
              <w:rPr>
                <w:i/>
                <w:iCs/>
                <w:color w:val="861D31"/>
              </w:rPr>
              <w:t>“</w:t>
            </w:r>
            <w:r>
              <w:rPr>
                <w:i/>
                <w:iCs/>
                <w:color w:val="861D31"/>
              </w:rPr>
              <w:t>Si bien es cierto que no se cuenta con área específica que pueda darle seguimiento a estas recomendaciones, dentro de la Dirección Administrativa se busca fortalecer el sistema de evaluación al desempeño, estableciendo un método eficaz para su atención.</w:t>
            </w:r>
          </w:p>
        </w:tc>
        <w:tc>
          <w:tcPr>
            <w:tcW w:w="1832" w:type="dxa"/>
          </w:tcPr>
          <w:p w14:paraId="44F0DC94" w14:textId="13F64BA8" w:rsidR="00702DF7" w:rsidRPr="003414E8" w:rsidRDefault="00702DF7" w:rsidP="00037EBE">
            <w:pPr>
              <w:spacing w:after="0"/>
              <w:rPr>
                <w:i/>
                <w:iCs/>
                <w:color w:val="861D31"/>
              </w:rPr>
            </w:pPr>
            <w:r w:rsidRPr="003414E8">
              <w:rPr>
                <w:i/>
                <w:iCs/>
                <w:color w:val="861D31"/>
              </w:rPr>
              <w:t>“</w:t>
            </w:r>
            <w:r w:rsidR="004A7722">
              <w:rPr>
                <w:i/>
                <w:iCs/>
                <w:color w:val="861D31"/>
              </w:rPr>
              <w:t>S</w:t>
            </w:r>
            <w:r>
              <w:rPr>
                <w:i/>
                <w:iCs/>
                <w:color w:val="861D31"/>
              </w:rPr>
              <w:t>e designará un enlace que dé prioridad a las recomendaciones establecida susceptibles de mejora, con cada una de las áreas involucradas y rediseñar los procesos de las mismas, así como con las entidades federales y estatales.</w:t>
            </w:r>
            <w:r w:rsidR="004A7722">
              <w:rPr>
                <w:i/>
                <w:iCs/>
                <w:color w:val="861D31"/>
              </w:rPr>
              <w:t>”</w:t>
            </w:r>
          </w:p>
        </w:tc>
      </w:tr>
      <w:tr w:rsidR="00702DF7" w14:paraId="05F1D3E4" w14:textId="77777777" w:rsidTr="00037EBE">
        <w:tc>
          <w:tcPr>
            <w:tcW w:w="4537" w:type="dxa"/>
          </w:tcPr>
          <w:p w14:paraId="42BAE41C" w14:textId="77777777" w:rsidR="00702DF7" w:rsidRDefault="00702DF7" w:rsidP="00037EBE">
            <w:pPr>
              <w:spacing w:after="0"/>
              <w:jc w:val="both"/>
            </w:pPr>
            <w:r>
              <w:t>La matriz de indicadores del fondo no integra temas que se deberían de considerar en atención al objetivo que busca alcanzar le FASSA.</w:t>
            </w:r>
          </w:p>
          <w:p w14:paraId="16CDD201" w14:textId="77777777" w:rsidR="00702DF7" w:rsidRDefault="00702DF7" w:rsidP="00037EBE">
            <w:pPr>
              <w:spacing w:after="0"/>
              <w:jc w:val="both"/>
            </w:pPr>
            <w:r>
              <w:t>Falta de un método eficaz para calcular la cobertura estatal de los programas de atención a la salud.</w:t>
            </w:r>
          </w:p>
          <w:p w14:paraId="70FE1CF1" w14:textId="77777777" w:rsidR="00702DF7" w:rsidRDefault="00702DF7" w:rsidP="00037EBE">
            <w:pPr>
              <w:spacing w:after="0"/>
              <w:jc w:val="both"/>
            </w:pPr>
            <w:r>
              <w:t>La fuente de datos utilizada para calcular la cobertura de años anteriores no se considera la adecuada.</w:t>
            </w:r>
          </w:p>
        </w:tc>
        <w:tc>
          <w:tcPr>
            <w:tcW w:w="2987" w:type="dxa"/>
          </w:tcPr>
          <w:p w14:paraId="5FA94CAC" w14:textId="77777777" w:rsidR="00702DF7" w:rsidRDefault="00702DF7" w:rsidP="00037EBE">
            <w:pPr>
              <w:spacing w:after="0"/>
            </w:pPr>
            <w:r w:rsidRPr="003414E8">
              <w:rPr>
                <w:i/>
                <w:iCs/>
                <w:color w:val="861D31"/>
              </w:rPr>
              <w:t>“</w:t>
            </w:r>
            <w:r>
              <w:rPr>
                <w:i/>
                <w:iCs/>
                <w:color w:val="861D31"/>
              </w:rPr>
              <w:t>Las matrices de indicadores del programa vienen definidas por la Secretaría de Salud  Federal, las cuales no pueden ser modificadas a menos que la misma realice un análisis exhaustivo de la mismas y en su defecto se decida sobre su modificación.</w:t>
            </w:r>
          </w:p>
        </w:tc>
        <w:tc>
          <w:tcPr>
            <w:tcW w:w="1832" w:type="dxa"/>
          </w:tcPr>
          <w:p w14:paraId="7CEF5DE3" w14:textId="6631F19C" w:rsidR="00702DF7" w:rsidRDefault="00702DF7" w:rsidP="00037EBE">
            <w:pPr>
              <w:spacing w:after="0"/>
            </w:pPr>
            <w:r w:rsidRPr="003414E8">
              <w:rPr>
                <w:i/>
                <w:iCs/>
                <w:color w:val="861D31"/>
              </w:rPr>
              <w:t>“</w:t>
            </w:r>
            <w:r>
              <w:rPr>
                <w:i/>
                <w:iCs/>
                <w:color w:val="861D31"/>
              </w:rPr>
              <w:t xml:space="preserve">Establecer un puente de comunicación con la Federación, para llevar a cabo las acciones que permitan establecer los parámetros o proyecciones con los que cuentan </w:t>
            </w:r>
            <w:r>
              <w:rPr>
                <w:i/>
                <w:iCs/>
                <w:color w:val="861D31"/>
              </w:rPr>
              <w:lastRenderedPageBreak/>
              <w:t>las bases de datos estatales, para realizar las proyecciones adecuadas, que permitan tener una ficha técnica de cada indicador por cada ejercicio</w:t>
            </w:r>
            <w:r w:rsidR="004A7722">
              <w:rPr>
                <w:i/>
                <w:iCs/>
                <w:color w:val="861D31"/>
              </w:rPr>
              <w:t>.</w:t>
            </w:r>
            <w:r w:rsidRPr="003414E8">
              <w:rPr>
                <w:i/>
                <w:iCs/>
                <w:color w:val="861D31"/>
              </w:rPr>
              <w:t>”</w:t>
            </w:r>
          </w:p>
        </w:tc>
      </w:tr>
      <w:tr w:rsidR="00702DF7" w14:paraId="2AEF6B6F" w14:textId="77777777" w:rsidTr="00037EBE">
        <w:tc>
          <w:tcPr>
            <w:tcW w:w="4537" w:type="dxa"/>
          </w:tcPr>
          <w:p w14:paraId="295A8036" w14:textId="77777777" w:rsidR="00702DF7" w:rsidRDefault="00702DF7" w:rsidP="00037EBE">
            <w:pPr>
              <w:spacing w:after="0"/>
              <w:jc w:val="both"/>
            </w:pPr>
            <w:r>
              <w:lastRenderedPageBreak/>
              <w:t>Débil coordinación del área administrativa con las operativas, para la liberación del recurso destinado a los programas sustantivos.</w:t>
            </w:r>
          </w:p>
          <w:p w14:paraId="0FF55BCE" w14:textId="77777777" w:rsidR="00702DF7" w:rsidRDefault="00702DF7" w:rsidP="00037EBE">
            <w:pPr>
              <w:spacing w:after="0"/>
              <w:jc w:val="both"/>
            </w:pPr>
            <w:r>
              <w:t>Limitada coordinación de las instancias federales y estatales para establecer mecanismos eficaces de asignación de recursos y por consecuente el ejercicio del recurso en tiempo.</w:t>
            </w:r>
          </w:p>
          <w:p w14:paraId="52CFAC8D" w14:textId="77777777" w:rsidR="00702DF7" w:rsidRDefault="00702DF7" w:rsidP="00037EBE">
            <w:pPr>
              <w:spacing w:after="0"/>
              <w:jc w:val="both"/>
            </w:pPr>
            <w:r>
              <w:t>Recortes financieros destinados a los fondos y/o recursos, de acuerdos a políticas públicas nacionales.</w:t>
            </w:r>
          </w:p>
          <w:p w14:paraId="041B7857" w14:textId="77777777" w:rsidR="00702DF7" w:rsidRDefault="00702DF7" w:rsidP="00037EBE">
            <w:pPr>
              <w:spacing w:after="0"/>
              <w:jc w:val="both"/>
            </w:pPr>
          </w:p>
        </w:tc>
        <w:tc>
          <w:tcPr>
            <w:tcW w:w="2987" w:type="dxa"/>
          </w:tcPr>
          <w:p w14:paraId="2CE4504A" w14:textId="77777777" w:rsidR="00702DF7" w:rsidRDefault="00702DF7" w:rsidP="00037EBE">
            <w:pPr>
              <w:spacing w:after="0"/>
              <w:rPr>
                <w:i/>
                <w:iCs/>
                <w:color w:val="861D31"/>
              </w:rPr>
            </w:pPr>
            <w:r w:rsidRPr="003414E8">
              <w:rPr>
                <w:i/>
                <w:iCs/>
                <w:color w:val="861D31"/>
              </w:rPr>
              <w:t>“</w:t>
            </w:r>
            <w:r>
              <w:rPr>
                <w:i/>
                <w:iCs/>
                <w:color w:val="861D31"/>
              </w:rPr>
              <w:t>Si se cuenta con mecanismos de coordinación con las diversas áreas que integran o realizan acciones que se derivan del fondo</w:t>
            </w:r>
            <w:r w:rsidRPr="003414E8">
              <w:rPr>
                <w:i/>
                <w:iCs/>
                <w:color w:val="861D31"/>
              </w:rPr>
              <w:t>.”</w:t>
            </w:r>
          </w:p>
          <w:p w14:paraId="4DE8E094" w14:textId="77777777" w:rsidR="00702DF7" w:rsidRDefault="00702DF7" w:rsidP="00037EBE">
            <w:pPr>
              <w:spacing w:after="0"/>
              <w:rPr>
                <w:i/>
                <w:iCs/>
                <w:color w:val="861D31"/>
              </w:rPr>
            </w:pPr>
            <w:r>
              <w:rPr>
                <w:i/>
                <w:iCs/>
                <w:color w:val="861D31"/>
              </w:rPr>
              <w:t>Se atienden políticas en tema de protección social y servicio a la comunidad, en prevención y atención a la salud, con recursos del mismo fondo.</w:t>
            </w:r>
          </w:p>
          <w:p w14:paraId="79FC625B" w14:textId="77777777" w:rsidR="00702DF7" w:rsidRDefault="00702DF7" w:rsidP="00037EBE">
            <w:pPr>
              <w:spacing w:after="0"/>
            </w:pPr>
            <w:r>
              <w:rPr>
                <w:i/>
                <w:iCs/>
                <w:color w:val="861D31"/>
              </w:rPr>
              <w:t>En cuanto al tiempo para ejercer los recursos.</w:t>
            </w:r>
          </w:p>
        </w:tc>
        <w:tc>
          <w:tcPr>
            <w:tcW w:w="1832" w:type="dxa"/>
          </w:tcPr>
          <w:p w14:paraId="21E3603B" w14:textId="11CDC2C4" w:rsidR="00702DF7" w:rsidRDefault="00702DF7" w:rsidP="00037EBE">
            <w:pPr>
              <w:spacing w:after="0"/>
            </w:pPr>
            <w:r w:rsidRPr="003414E8">
              <w:rPr>
                <w:i/>
                <w:iCs/>
                <w:color w:val="861D31"/>
              </w:rPr>
              <w:t>“</w:t>
            </w:r>
            <w:r w:rsidR="005F6371">
              <w:rPr>
                <w:i/>
                <w:iCs/>
                <w:color w:val="861D31"/>
              </w:rPr>
              <w:t>E</w:t>
            </w:r>
            <w:r>
              <w:rPr>
                <w:i/>
                <w:iCs/>
                <w:color w:val="861D31"/>
              </w:rPr>
              <w:t>ficientar los procesos de la gestión en la entrega del recurso</w:t>
            </w:r>
            <w:r w:rsidR="004A7722">
              <w:rPr>
                <w:i/>
                <w:iCs/>
                <w:color w:val="861D31"/>
              </w:rPr>
              <w:t>.</w:t>
            </w:r>
            <w:r w:rsidRPr="003414E8">
              <w:rPr>
                <w:i/>
                <w:iCs/>
                <w:color w:val="861D31"/>
              </w:rPr>
              <w:t>”</w:t>
            </w:r>
          </w:p>
        </w:tc>
      </w:tr>
      <w:tr w:rsidR="00702DF7" w14:paraId="147F93FC" w14:textId="77777777" w:rsidTr="00037EBE">
        <w:tc>
          <w:tcPr>
            <w:tcW w:w="4537" w:type="dxa"/>
          </w:tcPr>
          <w:p w14:paraId="3DF95D69" w14:textId="77777777" w:rsidR="00702DF7" w:rsidRDefault="00702DF7" w:rsidP="00037EBE">
            <w:pPr>
              <w:spacing w:after="0"/>
              <w:jc w:val="both"/>
            </w:pPr>
            <w:r>
              <w:t>Desconocimiento de los métodos para definir la cobertura de los programas que reciben recursos del fondo.</w:t>
            </w:r>
          </w:p>
          <w:p w14:paraId="2281680D" w14:textId="77777777" w:rsidR="00702DF7" w:rsidRDefault="00702DF7" w:rsidP="00037EBE">
            <w:pPr>
              <w:spacing w:after="0"/>
              <w:jc w:val="both"/>
            </w:pPr>
            <w:r>
              <w:t>Los recursos del FASSA se distribuyen en todos los conceptos de gasto para atender las necesidades de las cuatro subfunciones de salud pese a concentrarse mayoritariamente en el financiamiento de servicios personales. Como consecuencias los recursos se encuentran dispersos y ello dificulta el control sobre los recursos.</w:t>
            </w:r>
          </w:p>
          <w:p w14:paraId="59818B92" w14:textId="58A218AD" w:rsidR="00702DF7" w:rsidRDefault="00702DF7" w:rsidP="00037EBE">
            <w:pPr>
              <w:spacing w:after="0"/>
              <w:jc w:val="both"/>
            </w:pPr>
            <w:r>
              <w:t xml:space="preserve">Los medios de verificación y las fuentes de información no cuentan con las características necesarias de transparencia, es decir, carecen de una dirección electrónica o la dirección física en donde se encuentran la fuente d información </w:t>
            </w:r>
            <w:r>
              <w:lastRenderedPageBreak/>
              <w:t>y el medio de verificación</w:t>
            </w:r>
            <w:r w:rsidR="005F6371">
              <w:t>.</w:t>
            </w:r>
          </w:p>
          <w:p w14:paraId="59D43981" w14:textId="77777777" w:rsidR="00702DF7" w:rsidRDefault="00702DF7" w:rsidP="00037EBE">
            <w:pPr>
              <w:spacing w:after="0"/>
              <w:jc w:val="both"/>
            </w:pPr>
          </w:p>
        </w:tc>
        <w:tc>
          <w:tcPr>
            <w:tcW w:w="2987" w:type="dxa"/>
          </w:tcPr>
          <w:p w14:paraId="3DAEDF0F" w14:textId="4F7F4AC9" w:rsidR="00702DF7" w:rsidRDefault="00702DF7" w:rsidP="00F2108D">
            <w:pPr>
              <w:spacing w:after="0"/>
            </w:pPr>
            <w:r w:rsidRPr="003414E8">
              <w:rPr>
                <w:i/>
                <w:iCs/>
                <w:color w:val="861D31"/>
              </w:rPr>
              <w:lastRenderedPageBreak/>
              <w:t>“</w:t>
            </w:r>
            <w:r w:rsidR="00A01BD0">
              <w:rPr>
                <w:i/>
                <w:iCs/>
                <w:color w:val="861D31"/>
              </w:rPr>
              <w:t>E</w:t>
            </w:r>
            <w:r>
              <w:rPr>
                <w:i/>
                <w:iCs/>
                <w:color w:val="861D31"/>
              </w:rPr>
              <w:t>l curso del fondo se centra en el pago de nómina, ya que por su naturaleza el 8</w:t>
            </w:r>
            <w:r w:rsidR="00F2108D">
              <w:rPr>
                <w:i/>
                <w:iCs/>
                <w:color w:val="861D31"/>
              </w:rPr>
              <w:t>5</w:t>
            </w:r>
            <w:r>
              <w:rPr>
                <w:i/>
                <w:iCs/>
                <w:color w:val="861D31"/>
              </w:rPr>
              <w:t>% del mismo va al pago de dicho concepto, es decir para el personal médico y administrativo</w:t>
            </w:r>
            <w:r w:rsidRPr="003414E8">
              <w:rPr>
                <w:i/>
                <w:iCs/>
                <w:color w:val="861D31"/>
              </w:rPr>
              <w:t>.”</w:t>
            </w:r>
          </w:p>
        </w:tc>
        <w:tc>
          <w:tcPr>
            <w:tcW w:w="1832" w:type="dxa"/>
          </w:tcPr>
          <w:p w14:paraId="78B00A14" w14:textId="5BBFBFE7" w:rsidR="00702DF7" w:rsidRDefault="00702DF7" w:rsidP="00037EBE">
            <w:pPr>
              <w:spacing w:after="0"/>
            </w:pPr>
            <w:r w:rsidRPr="003414E8">
              <w:rPr>
                <w:i/>
                <w:iCs/>
                <w:color w:val="861D31"/>
              </w:rPr>
              <w:t>“</w:t>
            </w:r>
            <w:r w:rsidR="004A7722">
              <w:rPr>
                <w:i/>
                <w:iCs/>
                <w:color w:val="861D31"/>
              </w:rPr>
              <w:t>E</w:t>
            </w:r>
            <w:r>
              <w:rPr>
                <w:i/>
                <w:iCs/>
                <w:color w:val="861D31"/>
              </w:rPr>
              <w:t>mprender acciones de gestión que permitan generar mayor recurso o en su defecto adicional al que ya se tiene autorizado para dar mayor cobertura a la prevención y a la atención médica.</w:t>
            </w:r>
            <w:r w:rsidRPr="003414E8">
              <w:rPr>
                <w:i/>
                <w:iCs/>
                <w:color w:val="861D31"/>
              </w:rPr>
              <w:t>”</w:t>
            </w:r>
          </w:p>
        </w:tc>
      </w:tr>
    </w:tbl>
    <w:tbl>
      <w:tblPr>
        <w:tblW w:w="9386" w:type="dxa"/>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9416"/>
      </w:tblGrid>
      <w:tr w:rsidR="003414E8" w:rsidRPr="00E1388F" w14:paraId="1DB21BBB" w14:textId="77777777" w:rsidTr="003578C1">
        <w:trPr>
          <w:trHeight w:val="300"/>
          <w:tblCellSpacing w:w="20" w:type="dxa"/>
        </w:trPr>
        <w:tc>
          <w:tcPr>
            <w:tcW w:w="9306" w:type="dxa"/>
            <w:shd w:val="clear" w:color="auto" w:fill="861D31"/>
            <w:noWrap/>
            <w:vAlign w:val="center"/>
          </w:tcPr>
          <w:p w14:paraId="0C0B0456" w14:textId="76F371AC" w:rsidR="003414E8" w:rsidRPr="00AA45DE" w:rsidRDefault="00E12CA5" w:rsidP="003414E8">
            <w:pPr>
              <w:pStyle w:val="Prrafodelista"/>
              <w:numPr>
                <w:ilvl w:val="0"/>
                <w:numId w:val="42"/>
              </w:numPr>
              <w:spacing w:after="0" w:line="240" w:lineRule="auto"/>
              <w:jc w:val="center"/>
              <w:rPr>
                <w:rFonts w:eastAsia="Times New Roman"/>
                <w:b/>
                <w:bCs/>
                <w:color w:val="F2F2F2" w:themeColor="background1" w:themeShade="F2"/>
                <w:lang w:eastAsia="es-MX"/>
              </w:rPr>
            </w:pPr>
            <w:r>
              <w:rPr>
                <w:rFonts w:eastAsia="Times New Roman"/>
                <w:b/>
                <w:bCs/>
                <w:color w:val="F2F2F2" w:themeColor="background1" w:themeShade="F2"/>
                <w:lang w:eastAsia="es-MX"/>
              </w:rPr>
              <w:t>Posición Institucional respecto de la evaluación</w:t>
            </w:r>
          </w:p>
        </w:tc>
      </w:tr>
    </w:tbl>
    <w:p w14:paraId="1C0BA891" w14:textId="745CD735" w:rsidR="00EC63B6" w:rsidRDefault="00EC63B6"/>
    <w:p w14:paraId="28B8F2AF" w14:textId="2AD4F8AD" w:rsidR="00E12CA5" w:rsidRDefault="00E12CA5" w:rsidP="003578C1">
      <w:pPr>
        <w:ind w:right="-141"/>
        <w:jc w:val="both"/>
      </w:pPr>
      <w:r>
        <w:t xml:space="preserve">El objetivo de este apartado es presentar de forma general el punto de vista de la Dependencia o Entidad con respecto a: I. Los resultados de la evaluación, II. Al proceso de evaluación y III. Al desempeño del equipo evaluador. </w:t>
      </w:r>
    </w:p>
    <w:p w14:paraId="4754C1B0" w14:textId="77145492" w:rsidR="00E12CA5" w:rsidRDefault="00E12CA5" w:rsidP="003578C1">
      <w:pPr>
        <w:ind w:right="-141"/>
        <w:jc w:val="both"/>
      </w:pPr>
      <w:r>
        <w:t>Ejemplo:</w:t>
      </w:r>
    </w:p>
    <w:p w14:paraId="61FD6D68" w14:textId="7BA0ABE2" w:rsidR="00E12CA5" w:rsidRDefault="00E12CA5" w:rsidP="003578C1">
      <w:pPr>
        <w:ind w:right="-141"/>
        <w:jc w:val="both"/>
        <w:rPr>
          <w:i/>
          <w:iCs/>
          <w:color w:val="808080" w:themeColor="background1" w:themeShade="80"/>
        </w:rPr>
      </w:pPr>
      <w:r w:rsidRPr="00E12CA5">
        <w:rPr>
          <w:i/>
          <w:iCs/>
          <w:color w:val="808080" w:themeColor="background1" w:themeShade="80"/>
        </w:rPr>
        <w:t>“</w:t>
      </w:r>
      <w:r>
        <w:rPr>
          <w:i/>
          <w:iCs/>
          <w:color w:val="808080" w:themeColor="background1" w:themeShade="80"/>
        </w:rPr>
        <w:t>El programa ha ajustado sus metas en función del presupuesto establecido y las debilidades identificadas podrán convertirse en fortalezas del programa al redefinir la cobertura del mismo.</w:t>
      </w:r>
    </w:p>
    <w:p w14:paraId="4FBF2D14" w14:textId="0D2964EA" w:rsidR="00E12CA5" w:rsidRDefault="00E12CA5" w:rsidP="003578C1">
      <w:pPr>
        <w:ind w:right="-141"/>
        <w:jc w:val="both"/>
        <w:rPr>
          <w:i/>
          <w:iCs/>
          <w:color w:val="808080" w:themeColor="background1" w:themeShade="80"/>
        </w:rPr>
      </w:pPr>
      <w:r>
        <w:rPr>
          <w:i/>
          <w:iCs/>
          <w:color w:val="808080" w:themeColor="background1" w:themeShade="80"/>
        </w:rPr>
        <w:t>El proceso de evaluación fue ágil, sin embargo sería recomendable realizar una reunión con el equipo evaluador para clarificar o ampliar la información con la que se elabora la misma.</w:t>
      </w:r>
    </w:p>
    <w:p w14:paraId="08112D2B" w14:textId="11C2DCE3" w:rsidR="00E12CA5" w:rsidRPr="00E12CA5" w:rsidRDefault="00E12CA5" w:rsidP="003578C1">
      <w:pPr>
        <w:ind w:right="-141"/>
        <w:jc w:val="both"/>
        <w:rPr>
          <w:i/>
          <w:iCs/>
          <w:color w:val="808080" w:themeColor="background1" w:themeShade="80"/>
        </w:rPr>
      </w:pPr>
      <w:r>
        <w:rPr>
          <w:i/>
          <w:iCs/>
          <w:color w:val="808080" w:themeColor="background1" w:themeShade="80"/>
        </w:rPr>
        <w:t xml:space="preserve">La metodología establecida para la realización de la misma es sencilla y el esquema en la que se está </w:t>
      </w:r>
      <w:r w:rsidR="002B45DE">
        <w:rPr>
          <w:i/>
          <w:iCs/>
          <w:color w:val="808080" w:themeColor="background1" w:themeShade="80"/>
        </w:rPr>
        <w:t>organizado y coordinado que contribuye a este proceso”.</w:t>
      </w:r>
    </w:p>
    <w:tbl>
      <w:tblPr>
        <w:tblW w:w="9416" w:type="dxa"/>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9446"/>
      </w:tblGrid>
      <w:tr w:rsidR="002B45DE" w:rsidRPr="00E1388F" w14:paraId="7B867D1B" w14:textId="77777777" w:rsidTr="003578C1">
        <w:trPr>
          <w:trHeight w:val="300"/>
          <w:tblCellSpacing w:w="20" w:type="dxa"/>
        </w:trPr>
        <w:tc>
          <w:tcPr>
            <w:tcW w:w="9336" w:type="dxa"/>
            <w:shd w:val="clear" w:color="auto" w:fill="861D31"/>
            <w:noWrap/>
            <w:vAlign w:val="center"/>
          </w:tcPr>
          <w:p w14:paraId="18FB4B5A" w14:textId="5B40E695" w:rsidR="002B45DE" w:rsidRPr="00AA45DE" w:rsidRDefault="002B45DE" w:rsidP="002B45DE">
            <w:pPr>
              <w:pStyle w:val="Prrafodelista"/>
              <w:numPr>
                <w:ilvl w:val="0"/>
                <w:numId w:val="43"/>
              </w:numPr>
              <w:spacing w:after="0" w:line="240" w:lineRule="auto"/>
              <w:jc w:val="center"/>
              <w:rPr>
                <w:rFonts w:eastAsia="Times New Roman"/>
                <w:b/>
                <w:bCs/>
                <w:color w:val="F2F2F2" w:themeColor="background1" w:themeShade="F2"/>
                <w:lang w:eastAsia="es-MX"/>
              </w:rPr>
            </w:pPr>
            <w:r>
              <w:rPr>
                <w:rFonts w:eastAsia="Times New Roman"/>
                <w:b/>
                <w:bCs/>
                <w:color w:val="F2F2F2" w:themeColor="background1" w:themeShade="F2"/>
                <w:lang w:eastAsia="es-MX"/>
              </w:rPr>
              <w:t>Comentarios específicos</w:t>
            </w:r>
          </w:p>
        </w:tc>
      </w:tr>
    </w:tbl>
    <w:p w14:paraId="717A6499" w14:textId="77777777" w:rsidR="002B45DE" w:rsidRDefault="002B45DE" w:rsidP="002B45DE"/>
    <w:p w14:paraId="19CD620F" w14:textId="77777777" w:rsidR="002B45DE" w:rsidRDefault="002B45DE" w:rsidP="003578C1">
      <w:pPr>
        <w:ind w:right="-141"/>
        <w:jc w:val="both"/>
        <w:rPr>
          <w:b/>
          <w:bCs/>
        </w:rPr>
      </w:pPr>
      <w:r>
        <w:rPr>
          <w:b/>
          <w:bCs/>
        </w:rPr>
        <w:t>3.1 Sobre los resultados de la evaluación</w:t>
      </w:r>
    </w:p>
    <w:p w14:paraId="7F724215" w14:textId="0458DB91" w:rsidR="002B45DE" w:rsidRDefault="002B45DE" w:rsidP="003578C1">
      <w:pPr>
        <w:ind w:right="-141"/>
        <w:jc w:val="both"/>
      </w:pPr>
      <w:r>
        <w:t xml:space="preserve">En este apartado se espera contar con comentarios a los resultados de la evaluación realizada, es decir, sobre los hallazgos, debilidades, oportunidades y amenazas detectadas. </w:t>
      </w:r>
    </w:p>
    <w:p w14:paraId="5D5E0D3F" w14:textId="77777777" w:rsidR="002B45DE" w:rsidRDefault="002B45DE" w:rsidP="003578C1">
      <w:pPr>
        <w:ind w:right="-141"/>
        <w:jc w:val="both"/>
      </w:pPr>
      <w:r>
        <w:t>Ejemplo:</w:t>
      </w:r>
    </w:p>
    <w:p w14:paraId="7C2F2032" w14:textId="671B1801" w:rsidR="002B45DE" w:rsidRDefault="002B45DE" w:rsidP="003578C1">
      <w:pPr>
        <w:ind w:right="-141"/>
        <w:jc w:val="both"/>
        <w:rPr>
          <w:i/>
          <w:iCs/>
          <w:color w:val="808080" w:themeColor="background1" w:themeShade="80"/>
        </w:rPr>
      </w:pPr>
      <w:r w:rsidRPr="00E12CA5">
        <w:rPr>
          <w:i/>
          <w:iCs/>
          <w:color w:val="808080" w:themeColor="background1" w:themeShade="80"/>
        </w:rPr>
        <w:t>“</w:t>
      </w:r>
      <w:r>
        <w:rPr>
          <w:i/>
          <w:iCs/>
          <w:color w:val="808080" w:themeColor="background1" w:themeShade="80"/>
        </w:rPr>
        <w:t>El programa puede convertir las debilidades y amenazas en fortalezas a través de redefinir algunos aspectos del mismo, no obstante el factor de cambio de uso de suelo, es un factor que requiere de un trabajo transversal entre Dependencias, por ello sólo se habla de una contribución a la conservación que realiza el programa.”</w:t>
      </w:r>
    </w:p>
    <w:p w14:paraId="67167900" w14:textId="295A6AE7" w:rsidR="002B45DE" w:rsidRDefault="002B45DE" w:rsidP="003578C1">
      <w:pPr>
        <w:ind w:right="-141"/>
        <w:jc w:val="both"/>
        <w:rPr>
          <w:b/>
          <w:bCs/>
        </w:rPr>
      </w:pPr>
      <w:r>
        <w:rPr>
          <w:b/>
          <w:bCs/>
        </w:rPr>
        <w:t>3.2 Sobre el proceso de la evaluación</w:t>
      </w:r>
    </w:p>
    <w:p w14:paraId="642CE70A" w14:textId="2D4E372F" w:rsidR="002B45DE" w:rsidRDefault="002B45DE" w:rsidP="003578C1">
      <w:pPr>
        <w:ind w:right="-141"/>
        <w:jc w:val="both"/>
      </w:pPr>
      <w:r>
        <w:t>El objetivo de este apartado es presentar comentarios sobre el proceso de evaluación, por ejemplo, sobre las reuniones de trabajo, capacitaciones, entrevistas, trabajo de campo, tiempo de elaboración, así como de la metodología de evaluación o cualquier otro elemento del proceso de la evaluación.</w:t>
      </w:r>
    </w:p>
    <w:p w14:paraId="29A85602" w14:textId="77777777" w:rsidR="002B45DE" w:rsidRDefault="002B45DE" w:rsidP="003578C1">
      <w:pPr>
        <w:ind w:right="-141"/>
        <w:jc w:val="both"/>
      </w:pPr>
      <w:r>
        <w:t>Ejemplo:</w:t>
      </w:r>
    </w:p>
    <w:p w14:paraId="39F8495E" w14:textId="5405D3EC" w:rsidR="002B45DE" w:rsidRDefault="002B45DE" w:rsidP="003578C1">
      <w:pPr>
        <w:ind w:right="-141"/>
        <w:jc w:val="both"/>
        <w:rPr>
          <w:i/>
          <w:iCs/>
          <w:color w:val="808080" w:themeColor="background1" w:themeShade="80"/>
        </w:rPr>
      </w:pPr>
      <w:r w:rsidRPr="00E12CA5">
        <w:rPr>
          <w:i/>
          <w:iCs/>
          <w:color w:val="808080" w:themeColor="background1" w:themeShade="80"/>
        </w:rPr>
        <w:lastRenderedPageBreak/>
        <w:t>“</w:t>
      </w:r>
      <w:r>
        <w:rPr>
          <w:i/>
          <w:iCs/>
          <w:color w:val="808080" w:themeColor="background1" w:themeShade="80"/>
        </w:rPr>
        <w:t>La evaluación se realizó a través de un trabajo de gabinete</w:t>
      </w:r>
      <w:r w:rsidR="003578C1">
        <w:rPr>
          <w:i/>
          <w:iCs/>
          <w:color w:val="808080" w:themeColor="background1" w:themeShade="80"/>
        </w:rPr>
        <w:t>, sin establecer contacto con el equipo evaluador, por lo que se reitera la necesidad de tener al menos una reunión con el mismo para enriquecer la evaluación</w:t>
      </w:r>
      <w:r>
        <w:rPr>
          <w:i/>
          <w:iCs/>
          <w:color w:val="808080" w:themeColor="background1" w:themeShade="80"/>
        </w:rPr>
        <w:t>.”</w:t>
      </w:r>
    </w:p>
    <w:p w14:paraId="16ABAC47" w14:textId="0B516AF1" w:rsidR="003578C1" w:rsidRDefault="003578C1" w:rsidP="003578C1">
      <w:pPr>
        <w:ind w:right="-141"/>
        <w:jc w:val="both"/>
        <w:rPr>
          <w:b/>
          <w:bCs/>
        </w:rPr>
      </w:pPr>
      <w:r>
        <w:rPr>
          <w:b/>
          <w:bCs/>
        </w:rPr>
        <w:t>3.3 Sobre el desempeño del equipo evaluador</w:t>
      </w:r>
    </w:p>
    <w:p w14:paraId="52FCE148" w14:textId="3A9831A4" w:rsidR="003578C1" w:rsidRDefault="003578C1" w:rsidP="003578C1">
      <w:pPr>
        <w:ind w:right="-141"/>
        <w:jc w:val="both"/>
      </w:pPr>
      <w:r>
        <w:t>En este apartado se espera contar con los comentarios respecto al desempeño del equipo evaluador, es decir, sobre los aspectos positivos o áreas de oportunidad que sobre este particular hayan detectado a lo largo del proceso de la evaluación.</w:t>
      </w:r>
    </w:p>
    <w:p w14:paraId="4A5B578E" w14:textId="77777777" w:rsidR="003578C1" w:rsidRDefault="003578C1" w:rsidP="003578C1">
      <w:pPr>
        <w:ind w:right="-141"/>
        <w:jc w:val="both"/>
      </w:pPr>
      <w:r>
        <w:t>Ejemplo:</w:t>
      </w:r>
    </w:p>
    <w:p w14:paraId="2E5D0F2B" w14:textId="0B523677" w:rsidR="00EC63B6" w:rsidRDefault="003578C1" w:rsidP="003578C1">
      <w:pPr>
        <w:ind w:right="-141"/>
        <w:jc w:val="both"/>
      </w:pPr>
      <w:r w:rsidRPr="00E12CA5">
        <w:rPr>
          <w:i/>
          <w:iCs/>
          <w:color w:val="808080" w:themeColor="background1" w:themeShade="80"/>
        </w:rPr>
        <w:t>“</w:t>
      </w:r>
      <w:r>
        <w:rPr>
          <w:i/>
          <w:iCs/>
          <w:color w:val="808080" w:themeColor="background1" w:themeShade="80"/>
        </w:rPr>
        <w:t>El equipo evaluador realizó un trabajo basado sólo en documentación oficial, no obstante se destaca que se entendió la naturaleza y alcances del programa. Las recomendaciones y el FODA del programa se consideran adecuados para realizar mejoras al mismo.”</w:t>
      </w:r>
    </w:p>
    <w:p w14:paraId="3B6FFF06" w14:textId="77777777" w:rsidR="00E474E8" w:rsidRDefault="00E474E8"/>
    <w:sectPr w:rsidR="00E474E8" w:rsidSect="002B45DE">
      <w:headerReference w:type="default" r:id="rId8"/>
      <w:headerReference w:type="first" r:id="rId9"/>
      <w:pgSz w:w="12240" w:h="15840"/>
      <w:pgMar w:top="1701" w:right="1608" w:bottom="1701"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B443E" w14:textId="77777777" w:rsidR="00A6277B" w:rsidRDefault="00A6277B" w:rsidP="008E5209">
      <w:pPr>
        <w:spacing w:after="0" w:line="240" w:lineRule="auto"/>
      </w:pPr>
      <w:r>
        <w:separator/>
      </w:r>
    </w:p>
  </w:endnote>
  <w:endnote w:type="continuationSeparator" w:id="0">
    <w:p w14:paraId="4BC89AB6" w14:textId="77777777" w:rsidR="00A6277B" w:rsidRDefault="00A6277B"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Light">
    <w:altName w:val="Courier New"/>
    <w:panose1 w:val="000004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8440BA" w14:textId="77777777" w:rsidR="00A6277B" w:rsidRDefault="00A6277B" w:rsidP="008E5209">
      <w:pPr>
        <w:spacing w:after="0" w:line="240" w:lineRule="auto"/>
      </w:pPr>
      <w:r>
        <w:separator/>
      </w:r>
    </w:p>
  </w:footnote>
  <w:footnote w:type="continuationSeparator" w:id="0">
    <w:p w14:paraId="69FA6EB2" w14:textId="77777777" w:rsidR="00A6277B" w:rsidRDefault="00A6277B"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DF466" w14:textId="77777777" w:rsidR="00DF12BB" w:rsidRDefault="00DF12BB" w:rsidP="00DF12BB">
    <w:pPr>
      <w:pStyle w:val="Encabezado"/>
      <w:ind w:right="141"/>
      <w:jc w:val="right"/>
      <w:rPr>
        <w:rFonts w:ascii="Montserrat Light" w:hAnsi="Montserrat Light" w:cs="Arial"/>
        <w:b/>
        <w:color w:val="861D31"/>
        <w:szCs w:val="20"/>
      </w:rPr>
    </w:pPr>
    <w:r w:rsidRPr="00DA1D55">
      <w:rPr>
        <w:rFonts w:ascii="Montserrat Light" w:hAnsi="Montserrat Light" w:cs="Arial"/>
        <w:noProof/>
        <w:color w:val="861D31"/>
        <w:szCs w:val="20"/>
        <w:lang w:eastAsia="es-MX"/>
      </w:rPr>
      <mc:AlternateContent>
        <mc:Choice Requires="wps">
          <w:drawing>
            <wp:anchor distT="0" distB="0" distL="114300" distR="114300" simplePos="0" relativeHeight="251677696" behindDoc="0" locked="0" layoutInCell="1" allowOverlap="1" wp14:anchorId="0F7B2F07" wp14:editId="03C7DB44">
              <wp:simplePos x="0" y="0"/>
              <wp:positionH relativeFrom="column">
                <wp:posOffset>15875</wp:posOffset>
              </wp:positionH>
              <wp:positionV relativeFrom="paragraph">
                <wp:posOffset>-63500</wp:posOffset>
              </wp:positionV>
              <wp:extent cx="1095375" cy="657225"/>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657225"/>
                      </a:xfrm>
                      <a:prstGeom prst="rect">
                        <a:avLst/>
                      </a:prstGeom>
                      <a:noFill/>
                      <a:ln w="9525">
                        <a:noFill/>
                        <a:miter lim="800000"/>
                        <a:headEnd/>
                        <a:tailEnd/>
                      </a:ln>
                    </wps:spPr>
                    <wps:txbx>
                      <w:txbxContent>
                        <w:p w14:paraId="63AF555B" w14:textId="77777777" w:rsidR="00DF12BB" w:rsidRDefault="00DF12BB" w:rsidP="00DF12BB"/>
                        <w:p w14:paraId="586A7054" w14:textId="77777777" w:rsidR="00DF12BB" w:rsidRPr="00AA3309" w:rsidRDefault="00DF12BB" w:rsidP="00DF12BB">
                          <w:pPr>
                            <w:rPr>
                              <w:b/>
                              <w:color w:val="861D31"/>
                            </w:rPr>
                          </w:pPr>
                          <w:r w:rsidRPr="00AA3309">
                            <w:rPr>
                              <w:b/>
                              <w:color w:val="861D31"/>
                            </w:rPr>
                            <w:t>SINALOA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7B2F07" id="_x0000_t202" coordsize="21600,21600" o:spt="202" path="m,l,21600r21600,l21600,xe">
              <v:stroke joinstyle="miter"/>
              <v:path gradientshapeok="t" o:connecttype="rect"/>
            </v:shapetype>
            <v:shape id="Cuadro de texto 2" o:spid="_x0000_s1026" type="#_x0000_t202" style="position:absolute;left:0;text-align:left;margin-left:1.25pt;margin-top:-5pt;width:86.25pt;height:5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" filled="f" stroked="f">
              <v:textbox>
                <w:txbxContent>
                  <w:p w14:paraId="63AF555B" w14:textId="77777777" w:rsidR="00DF12BB" w:rsidRDefault="00DF12BB" w:rsidP="00DF12BB"/>
                  <w:p w14:paraId="586A7054" w14:textId="77777777" w:rsidR="00DF12BB" w:rsidRPr="00AA3309" w:rsidRDefault="00DF12BB" w:rsidP="00DF12BB">
                    <w:pPr>
                      <w:rPr>
                        <w:b/>
                        <w:color w:val="861D31"/>
                      </w:rPr>
                    </w:pPr>
                    <w:r w:rsidRPr="00AA3309">
                      <w:rPr>
                        <w:b/>
                        <w:color w:val="861D31"/>
                      </w:rPr>
                      <w:t>SINALOA</w:t>
                    </w:r>
                  </w:p>
                </w:txbxContent>
              </v:textbox>
            </v:shape>
          </w:pict>
        </mc:Fallback>
      </mc:AlternateContent>
    </w:r>
    <w:r w:rsidRPr="00DA1D55">
      <w:rPr>
        <w:rFonts w:ascii="Montserrat Light" w:hAnsi="Montserrat Light"/>
        <w:noProof/>
        <w:color w:val="861D31"/>
        <w:sz w:val="24"/>
        <w:lang w:eastAsia="es-MX"/>
      </w:rPr>
      <w:drawing>
        <wp:anchor distT="0" distB="0" distL="114300" distR="114300" simplePos="0" relativeHeight="251676672" behindDoc="1" locked="0" layoutInCell="1" allowOverlap="1" wp14:anchorId="25336A44" wp14:editId="40806CC6">
          <wp:simplePos x="0" y="0"/>
          <wp:positionH relativeFrom="column">
            <wp:posOffset>-675640</wp:posOffset>
          </wp:positionH>
          <wp:positionV relativeFrom="paragraph">
            <wp:posOffset>-133350</wp:posOffset>
          </wp:positionV>
          <wp:extent cx="862330" cy="141097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62330" cy="1410970"/>
                  </a:xfrm>
                  <a:prstGeom prst="rect">
                    <a:avLst/>
                  </a:prstGeom>
                  <a:noFill/>
                  <a:ln w="9525">
                    <a:noFill/>
                    <a:miter lim="800000"/>
                    <a:headEnd/>
                    <a:tailEnd/>
                  </a:ln>
                </pic:spPr>
              </pic:pic>
            </a:graphicData>
          </a:graphic>
        </wp:anchor>
      </w:drawing>
    </w:r>
  </w:p>
  <w:p w14:paraId="7105ACE4" w14:textId="77777777" w:rsidR="00DF12BB" w:rsidRDefault="00DF12BB" w:rsidP="00DF12BB">
    <w:pPr>
      <w:pStyle w:val="Encabezado"/>
      <w:ind w:right="141"/>
      <w:jc w:val="right"/>
      <w:rPr>
        <w:rFonts w:ascii="Montserrat Light" w:hAnsi="Montserrat Light" w:cs="Arial"/>
        <w:b/>
        <w:color w:val="861D31"/>
        <w:szCs w:val="20"/>
      </w:rPr>
    </w:pPr>
  </w:p>
  <w:p w14:paraId="01C69DBE" w14:textId="77777777" w:rsidR="00DF12BB" w:rsidRDefault="00DF12BB" w:rsidP="00DF12BB">
    <w:pPr>
      <w:pStyle w:val="Encabezado"/>
    </w:pPr>
  </w:p>
  <w:p w14:paraId="3B9E3FB1" w14:textId="77777777" w:rsidR="00DF12BB" w:rsidRDefault="00DF12BB" w:rsidP="00DF12BB">
    <w:pPr>
      <w:pStyle w:val="Encabezado"/>
    </w:pPr>
  </w:p>
  <w:p w14:paraId="52B6C727" w14:textId="4902F72A" w:rsidR="002B45DE" w:rsidRDefault="002B45DE" w:rsidP="002B45DE">
    <w:pPr>
      <w:spacing w:after="0"/>
      <w:ind w:left="709" w:firstLine="709"/>
      <w:jc w:val="right"/>
      <w:rPr>
        <w:rFonts w:ascii="Montserrat Light" w:hAnsi="Montserrat Light" w:cs="Arial"/>
        <w:b/>
        <w:color w:val="861D31"/>
        <w:sz w:val="28"/>
      </w:rPr>
    </w:pPr>
    <w:r>
      <w:rPr>
        <w:rFonts w:ascii="Montserrat Light" w:hAnsi="Montserrat Light" w:cs="Arial"/>
        <w:b/>
        <w:color w:val="861D31"/>
        <w:sz w:val="28"/>
      </w:rPr>
      <w:t>Documento de posición institucional</w:t>
    </w:r>
  </w:p>
  <w:p w14:paraId="11D0D17D" w14:textId="77777777" w:rsidR="002B45DE" w:rsidRDefault="002B45DE" w:rsidP="002B45DE">
    <w:pPr>
      <w:spacing w:after="0"/>
      <w:ind w:left="709" w:firstLine="709"/>
      <w:jc w:val="right"/>
      <w:rPr>
        <w:rFonts w:ascii="Montserrat Light" w:hAnsi="Montserrat Light" w:cs="Arial"/>
        <w:b/>
        <w:color w:val="861D31"/>
        <w:sz w:val="28"/>
      </w:rPr>
    </w:pPr>
  </w:p>
  <w:p w14:paraId="768D5AF8" w14:textId="0EC356F8" w:rsidR="00213BFA" w:rsidRPr="00DF12BB" w:rsidRDefault="00213BFA" w:rsidP="00213BFA">
    <w:pPr>
      <w:spacing w:after="0"/>
      <w:ind w:left="709" w:firstLine="709"/>
      <w:jc w:val="right"/>
      <w:rPr>
        <w:rFonts w:ascii="Montserrat Light" w:hAnsi="Montserrat Light" w:cs="Arial"/>
        <w:b/>
        <w:color w:val="861D31"/>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815FB" w14:textId="77777777" w:rsidR="0086126F" w:rsidRDefault="0086126F" w:rsidP="00DA1D55">
    <w:pPr>
      <w:pStyle w:val="Encabezado"/>
      <w:ind w:right="141"/>
      <w:jc w:val="right"/>
      <w:rPr>
        <w:rFonts w:ascii="Montserrat Light" w:hAnsi="Montserrat Light" w:cs="Arial"/>
        <w:b/>
        <w:color w:val="861D31"/>
        <w:szCs w:val="20"/>
      </w:rPr>
    </w:pPr>
    <w:r w:rsidRPr="00DA1D55">
      <w:rPr>
        <w:rFonts w:ascii="Montserrat Light" w:hAnsi="Montserrat Light" w:cs="Arial"/>
        <w:noProof/>
        <w:color w:val="861D31"/>
        <w:szCs w:val="20"/>
        <w:lang w:eastAsia="es-MX"/>
      </w:rPr>
      <mc:AlternateContent>
        <mc:Choice Requires="wps">
          <w:drawing>
            <wp:anchor distT="0" distB="0" distL="114300" distR="114300" simplePos="0" relativeHeight="251674624" behindDoc="0" locked="0" layoutInCell="1" allowOverlap="1" wp14:anchorId="19D9B901" wp14:editId="509B235E">
              <wp:simplePos x="0" y="0"/>
              <wp:positionH relativeFrom="column">
                <wp:posOffset>15875</wp:posOffset>
              </wp:positionH>
              <wp:positionV relativeFrom="paragraph">
                <wp:posOffset>-63500</wp:posOffset>
              </wp:positionV>
              <wp:extent cx="1095375" cy="657225"/>
              <wp:effectExtent l="0" t="0" r="0" b="0"/>
              <wp:wrapNone/>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657225"/>
                      </a:xfrm>
                      <a:prstGeom prst="rect">
                        <a:avLst/>
                      </a:prstGeom>
                      <a:noFill/>
                      <a:ln w="9525">
                        <a:noFill/>
                        <a:miter lim="800000"/>
                        <a:headEnd/>
                        <a:tailEnd/>
                      </a:ln>
                    </wps:spPr>
                    <wps:txbx>
                      <w:txbxContent>
                        <w:p w14:paraId="4CEED590" w14:textId="77777777" w:rsidR="0086126F" w:rsidRDefault="0086126F" w:rsidP="00C759BF"/>
                        <w:p w14:paraId="0183D2FA" w14:textId="77777777" w:rsidR="0086126F" w:rsidRPr="00AA3309" w:rsidRDefault="0086126F" w:rsidP="00C759BF">
                          <w:pPr>
                            <w:rPr>
                              <w:b/>
                              <w:color w:val="861D31"/>
                            </w:rPr>
                          </w:pPr>
                          <w:r w:rsidRPr="00AA3309">
                            <w:rPr>
                              <w:b/>
                              <w:color w:val="861D31"/>
                            </w:rPr>
                            <w:t>SINALOA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D9B901" id="_x0000_t202" coordsize="21600,21600" o:spt="202" path="m,l,21600r21600,l21600,xe">
              <v:stroke joinstyle="miter"/>
              <v:path gradientshapeok="t" o:connecttype="rect"/>
            </v:shapetype>
            <v:shape id="_x0000_s1027" type="#_x0000_t202" style="position:absolute;left:0;text-align:left;margin-left:1.25pt;margin-top:-5pt;width:86.25pt;height:5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" filled="f" stroked="f">
              <v:textbox>
                <w:txbxContent>
                  <w:p w14:paraId="4CEED590" w14:textId="77777777" w:rsidR="0086126F" w:rsidRDefault="0086126F" w:rsidP="00C759BF"/>
                  <w:p w14:paraId="0183D2FA" w14:textId="77777777" w:rsidR="0086126F" w:rsidRPr="00AA3309" w:rsidRDefault="0086126F" w:rsidP="00C759BF">
                    <w:pPr>
                      <w:rPr>
                        <w:b/>
                        <w:color w:val="861D31"/>
                      </w:rPr>
                    </w:pPr>
                    <w:r w:rsidRPr="00AA3309">
                      <w:rPr>
                        <w:b/>
                        <w:color w:val="861D31"/>
                      </w:rPr>
                      <w:t>SINALOA</w:t>
                    </w:r>
                  </w:p>
                </w:txbxContent>
              </v:textbox>
            </v:shape>
          </w:pict>
        </mc:Fallback>
      </mc:AlternateContent>
    </w:r>
    <w:r w:rsidRPr="00DA1D55">
      <w:rPr>
        <w:rFonts w:ascii="Montserrat Light" w:hAnsi="Montserrat Light"/>
        <w:noProof/>
        <w:color w:val="861D31"/>
        <w:sz w:val="24"/>
        <w:lang w:eastAsia="es-MX"/>
      </w:rPr>
      <w:drawing>
        <wp:anchor distT="0" distB="0" distL="114300" distR="114300" simplePos="0" relativeHeight="251673600" behindDoc="1" locked="0" layoutInCell="1" allowOverlap="1" wp14:anchorId="6AA8BC57" wp14:editId="664E44B9">
          <wp:simplePos x="0" y="0"/>
          <wp:positionH relativeFrom="column">
            <wp:posOffset>-675640</wp:posOffset>
          </wp:positionH>
          <wp:positionV relativeFrom="paragraph">
            <wp:posOffset>-133350</wp:posOffset>
          </wp:positionV>
          <wp:extent cx="862330" cy="1410970"/>
          <wp:effectExtent l="0" t="0" r="0" b="0"/>
          <wp:wrapNone/>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62330" cy="1410970"/>
                  </a:xfrm>
                  <a:prstGeom prst="rect">
                    <a:avLst/>
                  </a:prstGeom>
                  <a:noFill/>
                  <a:ln w="9525">
                    <a:noFill/>
                    <a:miter lim="800000"/>
                    <a:headEnd/>
                    <a:tailEnd/>
                  </a:ln>
                </pic:spPr>
              </pic:pic>
            </a:graphicData>
          </a:graphic>
        </wp:anchor>
      </w:drawing>
    </w:r>
  </w:p>
  <w:p w14:paraId="196FE6CC" w14:textId="77777777" w:rsidR="0086126F" w:rsidRDefault="0086126F" w:rsidP="00DA1D55">
    <w:pPr>
      <w:pStyle w:val="Encabezado"/>
      <w:ind w:right="141"/>
      <w:jc w:val="right"/>
      <w:rPr>
        <w:rFonts w:ascii="Montserrat Light" w:hAnsi="Montserrat Light" w:cs="Arial"/>
        <w:b/>
        <w:color w:val="861D31"/>
        <w:szCs w:val="20"/>
      </w:rPr>
    </w:pPr>
  </w:p>
  <w:p w14:paraId="74F5E4D1" w14:textId="77777777" w:rsidR="0086126F" w:rsidRDefault="0086126F">
    <w:pPr>
      <w:pStyle w:val="Encabezado"/>
    </w:pPr>
  </w:p>
  <w:p w14:paraId="1858156C" w14:textId="77777777" w:rsidR="0086126F" w:rsidRDefault="0086126F">
    <w:pPr>
      <w:pStyle w:val="Encabezado"/>
    </w:pPr>
  </w:p>
  <w:p w14:paraId="4768E507" w14:textId="0A6CF9D0" w:rsidR="0086126F" w:rsidRDefault="00C17101" w:rsidP="00213BFA">
    <w:pPr>
      <w:spacing w:after="0"/>
      <w:ind w:left="709" w:firstLine="709"/>
      <w:jc w:val="right"/>
      <w:rPr>
        <w:rFonts w:ascii="Montserrat Light" w:hAnsi="Montserrat Light" w:cs="Arial"/>
        <w:b/>
        <w:color w:val="861D31"/>
        <w:sz w:val="28"/>
      </w:rPr>
    </w:pPr>
    <w:r>
      <w:rPr>
        <w:rFonts w:ascii="Montserrat Light" w:hAnsi="Montserrat Light" w:cs="Arial"/>
        <w:b/>
        <w:color w:val="861D31"/>
        <w:sz w:val="28"/>
      </w:rPr>
      <w:t>Documento de posición institucional</w:t>
    </w:r>
  </w:p>
  <w:p w14:paraId="638A5505" w14:textId="3032BC96" w:rsidR="00C17101" w:rsidRDefault="00C17101" w:rsidP="00213BFA">
    <w:pPr>
      <w:spacing w:after="0"/>
      <w:ind w:left="709" w:firstLine="709"/>
      <w:jc w:val="right"/>
      <w:rPr>
        <w:rFonts w:ascii="Montserrat Light" w:hAnsi="Montserrat Light" w:cs="Arial"/>
        <w:b/>
        <w:color w:val="861D31"/>
        <w:sz w:val="28"/>
      </w:rPr>
    </w:pPr>
  </w:p>
  <w:p w14:paraId="25798D14" w14:textId="77777777" w:rsidR="00E12CA5" w:rsidRPr="0086126F" w:rsidRDefault="00E12CA5" w:rsidP="00213BFA">
    <w:pPr>
      <w:spacing w:after="0"/>
      <w:ind w:left="709" w:firstLine="709"/>
      <w:jc w:val="right"/>
      <w:rPr>
        <w:rFonts w:ascii="Montserrat Light" w:hAnsi="Montserrat Light" w:cs="Arial"/>
        <w:b/>
        <w:color w:val="861D31"/>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84C4E"/>
    <w:multiLevelType w:val="hybridMultilevel"/>
    <w:tmpl w:val="0A5A66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25313D"/>
    <w:multiLevelType w:val="hybridMultilevel"/>
    <w:tmpl w:val="6F08DE0C"/>
    <w:lvl w:ilvl="0" w:tplc="95960736">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2455CD"/>
    <w:multiLevelType w:val="hybridMultilevel"/>
    <w:tmpl w:val="B0D20AEE"/>
    <w:lvl w:ilvl="0" w:tplc="49444308">
      <w:start w:val="7"/>
      <w:numFmt w:val="upperLetter"/>
      <w:lvlText w:val="%1."/>
      <w:lvlJc w:val="left"/>
      <w:pPr>
        <w:ind w:left="150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C614E9"/>
    <w:multiLevelType w:val="hybridMultilevel"/>
    <w:tmpl w:val="403816EA"/>
    <w:lvl w:ilvl="0" w:tplc="5AB0A7A0">
      <w:start w:val="2"/>
      <w:numFmt w:val="bullet"/>
      <w:lvlText w:val="•"/>
      <w:lvlJc w:val="left"/>
      <w:pPr>
        <w:ind w:left="927" w:hanging="360"/>
      </w:pPr>
      <w:rPr>
        <w:rFonts w:ascii="Calibri" w:eastAsiaTheme="minorHAnsi" w:hAnsi="Calibri" w:cs="Calibri"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4" w15:restartNumberingAfterBreak="0">
    <w:nsid w:val="06F10E83"/>
    <w:multiLevelType w:val="hybridMultilevel"/>
    <w:tmpl w:val="7012CD5A"/>
    <w:lvl w:ilvl="0" w:tplc="4BBE313E">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8276C16"/>
    <w:multiLevelType w:val="hybridMultilevel"/>
    <w:tmpl w:val="C8F633FC"/>
    <w:lvl w:ilvl="0" w:tplc="AA8C33F0">
      <w:start w:val="4"/>
      <w:numFmt w:val="decimal"/>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6" w15:restartNumberingAfterBreak="0">
    <w:nsid w:val="08B6524C"/>
    <w:multiLevelType w:val="hybridMultilevel"/>
    <w:tmpl w:val="595E0158"/>
    <w:lvl w:ilvl="0" w:tplc="31947FE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091F28D9"/>
    <w:multiLevelType w:val="hybridMultilevel"/>
    <w:tmpl w:val="8FF8A2E8"/>
    <w:lvl w:ilvl="0" w:tplc="84649956">
      <w:start w:val="7"/>
      <w:numFmt w:val="upp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BB00333"/>
    <w:multiLevelType w:val="multilevel"/>
    <w:tmpl w:val="2A06812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D13E4A"/>
    <w:multiLevelType w:val="hybridMultilevel"/>
    <w:tmpl w:val="D856DCE6"/>
    <w:lvl w:ilvl="0" w:tplc="A3CA052E">
      <w:start w:val="3"/>
      <w:numFmt w:val="upperLetter"/>
      <w:lvlText w:val="%1."/>
      <w:lvlJc w:val="left"/>
      <w:pPr>
        <w:ind w:left="150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0D3D8B"/>
    <w:multiLevelType w:val="hybridMultilevel"/>
    <w:tmpl w:val="7D1E46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97715F1"/>
    <w:multiLevelType w:val="hybridMultilevel"/>
    <w:tmpl w:val="193C59BA"/>
    <w:lvl w:ilvl="0" w:tplc="2108BC44">
      <w:start w:val="2"/>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9B279CA"/>
    <w:multiLevelType w:val="multilevel"/>
    <w:tmpl w:val="BC1AA692"/>
    <w:lvl w:ilvl="0">
      <w:start w:val="2"/>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3F0F9F"/>
    <w:multiLevelType w:val="hybridMultilevel"/>
    <w:tmpl w:val="E5BA9486"/>
    <w:lvl w:ilvl="0" w:tplc="080A0003">
      <w:start w:val="1"/>
      <w:numFmt w:val="bullet"/>
      <w:lvlText w:val="o"/>
      <w:lvlJc w:val="left"/>
      <w:pPr>
        <w:ind w:left="2160" w:hanging="360"/>
      </w:pPr>
      <w:rPr>
        <w:rFonts w:ascii="Courier New" w:hAnsi="Courier New" w:cs="Courier New"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4" w15:restartNumberingAfterBreak="0">
    <w:nsid w:val="20297BA0"/>
    <w:multiLevelType w:val="multilevel"/>
    <w:tmpl w:val="856C20C8"/>
    <w:lvl w:ilvl="0">
      <w:start w:val="2"/>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04F38E1"/>
    <w:multiLevelType w:val="hybridMultilevel"/>
    <w:tmpl w:val="4968A7C6"/>
    <w:lvl w:ilvl="0" w:tplc="14602D24">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21126B16"/>
    <w:multiLevelType w:val="hybridMultilevel"/>
    <w:tmpl w:val="457048BC"/>
    <w:lvl w:ilvl="0" w:tplc="6E9AA63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26C32B0"/>
    <w:multiLevelType w:val="hybridMultilevel"/>
    <w:tmpl w:val="85826234"/>
    <w:lvl w:ilvl="0" w:tplc="080A000F">
      <w:start w:val="1"/>
      <w:numFmt w:val="decimal"/>
      <w:lvlText w:val="%1."/>
      <w:lvlJc w:val="left"/>
      <w:pPr>
        <w:ind w:left="786" w:hanging="360"/>
      </w:pPr>
      <w:rPr>
        <w:rFonts w:hint="default"/>
      </w:rPr>
    </w:lvl>
    <w:lvl w:ilvl="1" w:tplc="080A0015">
      <w:start w:val="1"/>
      <w:numFmt w:val="upperLetter"/>
      <w:lvlText w:val="%2."/>
      <w:lvlJc w:val="left"/>
      <w:pPr>
        <w:ind w:left="1506" w:hanging="360"/>
      </w:pPr>
    </w:lvl>
    <w:lvl w:ilvl="2" w:tplc="080A001B">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8" w15:restartNumberingAfterBreak="0">
    <w:nsid w:val="229153BA"/>
    <w:multiLevelType w:val="hybridMultilevel"/>
    <w:tmpl w:val="9D041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5E91DE4"/>
    <w:multiLevelType w:val="hybridMultilevel"/>
    <w:tmpl w:val="F71483E0"/>
    <w:lvl w:ilvl="0" w:tplc="080A0015">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26E56919"/>
    <w:multiLevelType w:val="hybridMultilevel"/>
    <w:tmpl w:val="6ACED8B4"/>
    <w:lvl w:ilvl="0" w:tplc="4C70BF44">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6F65860"/>
    <w:multiLevelType w:val="hybridMultilevel"/>
    <w:tmpl w:val="083A0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B2C7CA7"/>
    <w:multiLevelType w:val="hybridMultilevel"/>
    <w:tmpl w:val="613A5D1A"/>
    <w:lvl w:ilvl="0" w:tplc="080A000F">
      <w:start w:val="1"/>
      <w:numFmt w:val="decimal"/>
      <w:lvlText w:val="%1."/>
      <w:lvlJc w:val="left"/>
      <w:pPr>
        <w:ind w:left="720" w:hanging="360"/>
      </w:pPr>
      <w:rPr>
        <w:rFonts w:hint="default"/>
      </w:rPr>
    </w:lvl>
    <w:lvl w:ilvl="1" w:tplc="2E1C4E9C">
      <w:start w:val="1"/>
      <w:numFmt w:val="upp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BD6798F"/>
    <w:multiLevelType w:val="multilevel"/>
    <w:tmpl w:val="952E9886"/>
    <w:lvl w:ilvl="0">
      <w:start w:val="2"/>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6F226C9"/>
    <w:multiLevelType w:val="hybridMultilevel"/>
    <w:tmpl w:val="D08C4AD0"/>
    <w:lvl w:ilvl="0" w:tplc="BB7C2536">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9C3340B"/>
    <w:multiLevelType w:val="hybridMultilevel"/>
    <w:tmpl w:val="A5A422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F6B33B3"/>
    <w:multiLevelType w:val="multilevel"/>
    <w:tmpl w:val="B18CF710"/>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17435BC"/>
    <w:multiLevelType w:val="hybridMultilevel"/>
    <w:tmpl w:val="E2D0C828"/>
    <w:lvl w:ilvl="0" w:tplc="035AFE3C">
      <w:start w:val="3"/>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4D98171D"/>
    <w:multiLevelType w:val="hybridMultilevel"/>
    <w:tmpl w:val="4DE26EE4"/>
    <w:lvl w:ilvl="0" w:tplc="ADA064AE">
      <w:start w:val="1"/>
      <w:numFmt w:val="upperLetter"/>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4DB73403"/>
    <w:multiLevelType w:val="multilevel"/>
    <w:tmpl w:val="F72AA2E2"/>
    <w:lvl w:ilvl="0">
      <w:start w:val="2"/>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3FC31A3"/>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4DD783F"/>
    <w:multiLevelType w:val="hybridMultilevel"/>
    <w:tmpl w:val="0A4AF5C8"/>
    <w:lvl w:ilvl="0" w:tplc="69EA92D2">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87427EA"/>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B2B4325"/>
    <w:multiLevelType w:val="hybridMultilevel"/>
    <w:tmpl w:val="2A7A0C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D6D57D1"/>
    <w:multiLevelType w:val="hybridMultilevel"/>
    <w:tmpl w:val="594063B8"/>
    <w:lvl w:ilvl="0" w:tplc="670EDCD6">
      <w:start w:val="3"/>
      <w:numFmt w:val="upperLetter"/>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00D2924"/>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3A4B3F"/>
    <w:multiLevelType w:val="hybridMultilevel"/>
    <w:tmpl w:val="062E60CE"/>
    <w:lvl w:ilvl="0" w:tplc="54408794">
      <w:start w:val="6"/>
      <w:numFmt w:val="upperLetter"/>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22B4FC9"/>
    <w:multiLevelType w:val="hybridMultilevel"/>
    <w:tmpl w:val="193EA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74162A2"/>
    <w:multiLevelType w:val="hybridMultilevel"/>
    <w:tmpl w:val="9BBE73A8"/>
    <w:lvl w:ilvl="0" w:tplc="199E1C4A">
      <w:start w:val="1"/>
      <w:numFmt w:val="upperLetter"/>
      <w:lvlText w:val="%1."/>
      <w:lvlJc w:val="left"/>
      <w:pPr>
        <w:ind w:left="1080" w:hanging="360"/>
      </w:pPr>
      <w:rPr>
        <w:rFonts w:hint="default"/>
      </w:rPr>
    </w:lvl>
    <w:lvl w:ilvl="1" w:tplc="080A001B">
      <w:start w:val="1"/>
      <w:numFmt w:val="lowerRoman"/>
      <w:lvlText w:val="%2."/>
      <w:lvlJc w:val="righ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6EC95F3D"/>
    <w:multiLevelType w:val="hybridMultilevel"/>
    <w:tmpl w:val="09FA3F6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A893327"/>
    <w:multiLevelType w:val="hybridMultilevel"/>
    <w:tmpl w:val="3CD042F8"/>
    <w:lvl w:ilvl="0" w:tplc="5A8296A6">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B804271"/>
    <w:multiLevelType w:val="multilevel"/>
    <w:tmpl w:val="502AC9B2"/>
    <w:lvl w:ilvl="0">
      <w:start w:val="2"/>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E891035"/>
    <w:multiLevelType w:val="hybridMultilevel"/>
    <w:tmpl w:val="84FEADF4"/>
    <w:lvl w:ilvl="0" w:tplc="7638A744">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1"/>
  </w:num>
  <w:num w:numId="2">
    <w:abstractNumId w:val="17"/>
  </w:num>
  <w:num w:numId="3">
    <w:abstractNumId w:val="15"/>
  </w:num>
  <w:num w:numId="4">
    <w:abstractNumId w:val="6"/>
  </w:num>
  <w:num w:numId="5">
    <w:abstractNumId w:val="19"/>
  </w:num>
  <w:num w:numId="6">
    <w:abstractNumId w:val="4"/>
  </w:num>
  <w:num w:numId="7">
    <w:abstractNumId w:val="42"/>
  </w:num>
  <w:num w:numId="8">
    <w:abstractNumId w:val="34"/>
  </w:num>
  <w:num w:numId="9">
    <w:abstractNumId w:val="28"/>
  </w:num>
  <w:num w:numId="10">
    <w:abstractNumId w:val="20"/>
  </w:num>
  <w:num w:numId="11">
    <w:abstractNumId w:val="7"/>
  </w:num>
  <w:num w:numId="12">
    <w:abstractNumId w:val="13"/>
  </w:num>
  <w:num w:numId="13">
    <w:abstractNumId w:val="22"/>
  </w:num>
  <w:num w:numId="14">
    <w:abstractNumId w:val="36"/>
  </w:num>
  <w:num w:numId="15">
    <w:abstractNumId w:val="5"/>
  </w:num>
  <w:num w:numId="16">
    <w:abstractNumId w:val="1"/>
  </w:num>
  <w:num w:numId="17">
    <w:abstractNumId w:val="40"/>
  </w:num>
  <w:num w:numId="18">
    <w:abstractNumId w:val="38"/>
  </w:num>
  <w:num w:numId="19">
    <w:abstractNumId w:val="2"/>
  </w:num>
  <w:num w:numId="20">
    <w:abstractNumId w:val="27"/>
  </w:num>
  <w:num w:numId="21">
    <w:abstractNumId w:val="9"/>
  </w:num>
  <w:num w:numId="22">
    <w:abstractNumId w:val="16"/>
  </w:num>
  <w:num w:numId="23">
    <w:abstractNumId w:val="0"/>
  </w:num>
  <w:num w:numId="24">
    <w:abstractNumId w:val="30"/>
  </w:num>
  <w:num w:numId="25">
    <w:abstractNumId w:val="35"/>
  </w:num>
  <w:num w:numId="26">
    <w:abstractNumId w:val="3"/>
  </w:num>
  <w:num w:numId="27">
    <w:abstractNumId w:val="11"/>
  </w:num>
  <w:num w:numId="28">
    <w:abstractNumId w:val="32"/>
  </w:num>
  <w:num w:numId="29">
    <w:abstractNumId w:val="26"/>
  </w:num>
  <w:num w:numId="30">
    <w:abstractNumId w:val="41"/>
  </w:num>
  <w:num w:numId="31">
    <w:abstractNumId w:val="8"/>
  </w:num>
  <w:num w:numId="32">
    <w:abstractNumId w:val="12"/>
  </w:num>
  <w:num w:numId="33">
    <w:abstractNumId w:val="23"/>
  </w:num>
  <w:num w:numId="34">
    <w:abstractNumId w:val="14"/>
  </w:num>
  <w:num w:numId="35">
    <w:abstractNumId w:val="29"/>
  </w:num>
  <w:num w:numId="36">
    <w:abstractNumId w:val="18"/>
  </w:num>
  <w:num w:numId="37">
    <w:abstractNumId w:val="37"/>
  </w:num>
  <w:num w:numId="38">
    <w:abstractNumId w:val="33"/>
  </w:num>
  <w:num w:numId="39">
    <w:abstractNumId w:val="39"/>
  </w:num>
  <w:num w:numId="40">
    <w:abstractNumId w:val="10"/>
  </w:num>
  <w:num w:numId="41">
    <w:abstractNumId w:val="25"/>
  </w:num>
  <w:num w:numId="42">
    <w:abstractNumId w:val="31"/>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209"/>
    <w:rsid w:val="00003D1B"/>
    <w:rsid w:val="0001033D"/>
    <w:rsid w:val="000118B1"/>
    <w:rsid w:val="00017F38"/>
    <w:rsid w:val="000228F8"/>
    <w:rsid w:val="00023EAD"/>
    <w:rsid w:val="00024AE9"/>
    <w:rsid w:val="0003464C"/>
    <w:rsid w:val="00037498"/>
    <w:rsid w:val="00057C89"/>
    <w:rsid w:val="00063EAD"/>
    <w:rsid w:val="00067330"/>
    <w:rsid w:val="00072141"/>
    <w:rsid w:val="00076C94"/>
    <w:rsid w:val="00080258"/>
    <w:rsid w:val="00083A07"/>
    <w:rsid w:val="00084948"/>
    <w:rsid w:val="00091285"/>
    <w:rsid w:val="000935A4"/>
    <w:rsid w:val="000A0543"/>
    <w:rsid w:val="000A1D0D"/>
    <w:rsid w:val="000A4397"/>
    <w:rsid w:val="000B745B"/>
    <w:rsid w:val="000C5759"/>
    <w:rsid w:val="000C7555"/>
    <w:rsid w:val="000C7DB8"/>
    <w:rsid w:val="000D764C"/>
    <w:rsid w:val="000F2D60"/>
    <w:rsid w:val="000F3AF6"/>
    <w:rsid w:val="000F6061"/>
    <w:rsid w:val="00102E69"/>
    <w:rsid w:val="00107559"/>
    <w:rsid w:val="00110F36"/>
    <w:rsid w:val="0011419F"/>
    <w:rsid w:val="00121D44"/>
    <w:rsid w:val="00131E38"/>
    <w:rsid w:val="00145904"/>
    <w:rsid w:val="00154A36"/>
    <w:rsid w:val="00167840"/>
    <w:rsid w:val="001763CC"/>
    <w:rsid w:val="001800BD"/>
    <w:rsid w:val="00184CB5"/>
    <w:rsid w:val="001933A0"/>
    <w:rsid w:val="0019373C"/>
    <w:rsid w:val="001A0E6E"/>
    <w:rsid w:val="001B0AC5"/>
    <w:rsid w:val="001C5275"/>
    <w:rsid w:val="001D187A"/>
    <w:rsid w:val="001E5983"/>
    <w:rsid w:val="001E66BD"/>
    <w:rsid w:val="001F0D23"/>
    <w:rsid w:val="001F2C2A"/>
    <w:rsid w:val="001F6318"/>
    <w:rsid w:val="0020020C"/>
    <w:rsid w:val="0020155A"/>
    <w:rsid w:val="002030DF"/>
    <w:rsid w:val="002051F1"/>
    <w:rsid w:val="00213BFA"/>
    <w:rsid w:val="00214062"/>
    <w:rsid w:val="00230930"/>
    <w:rsid w:val="002312DF"/>
    <w:rsid w:val="00233D0F"/>
    <w:rsid w:val="002356D5"/>
    <w:rsid w:val="0023762C"/>
    <w:rsid w:val="002422A9"/>
    <w:rsid w:val="00256B08"/>
    <w:rsid w:val="00263C83"/>
    <w:rsid w:val="00264327"/>
    <w:rsid w:val="0026692D"/>
    <w:rsid w:val="002801B9"/>
    <w:rsid w:val="00281DFC"/>
    <w:rsid w:val="002903FB"/>
    <w:rsid w:val="00296056"/>
    <w:rsid w:val="002A29EE"/>
    <w:rsid w:val="002A318E"/>
    <w:rsid w:val="002B2C96"/>
    <w:rsid w:val="002B45DE"/>
    <w:rsid w:val="002D1AFC"/>
    <w:rsid w:val="002D3EA7"/>
    <w:rsid w:val="002D457E"/>
    <w:rsid w:val="002E1A84"/>
    <w:rsid w:val="002E4405"/>
    <w:rsid w:val="002E6DAC"/>
    <w:rsid w:val="002F378E"/>
    <w:rsid w:val="00316A9C"/>
    <w:rsid w:val="00316C41"/>
    <w:rsid w:val="00323621"/>
    <w:rsid w:val="00325565"/>
    <w:rsid w:val="003270DD"/>
    <w:rsid w:val="00331966"/>
    <w:rsid w:val="00332B71"/>
    <w:rsid w:val="00332B81"/>
    <w:rsid w:val="003414E8"/>
    <w:rsid w:val="00342BB1"/>
    <w:rsid w:val="00345DBF"/>
    <w:rsid w:val="00351B94"/>
    <w:rsid w:val="003578C1"/>
    <w:rsid w:val="003671EF"/>
    <w:rsid w:val="00375FD1"/>
    <w:rsid w:val="003800F3"/>
    <w:rsid w:val="003867E1"/>
    <w:rsid w:val="003954C6"/>
    <w:rsid w:val="003964B5"/>
    <w:rsid w:val="003C3463"/>
    <w:rsid w:val="003C5B02"/>
    <w:rsid w:val="003E326B"/>
    <w:rsid w:val="003E4BAA"/>
    <w:rsid w:val="003E6E57"/>
    <w:rsid w:val="003F0AF3"/>
    <w:rsid w:val="003F315D"/>
    <w:rsid w:val="00413C04"/>
    <w:rsid w:val="0041452B"/>
    <w:rsid w:val="00416CC1"/>
    <w:rsid w:val="00425911"/>
    <w:rsid w:val="00431E65"/>
    <w:rsid w:val="004327A3"/>
    <w:rsid w:val="0044695A"/>
    <w:rsid w:val="004620A0"/>
    <w:rsid w:val="004637DF"/>
    <w:rsid w:val="0047656A"/>
    <w:rsid w:val="00480476"/>
    <w:rsid w:val="0049271E"/>
    <w:rsid w:val="00495144"/>
    <w:rsid w:val="004A055F"/>
    <w:rsid w:val="004A30A1"/>
    <w:rsid w:val="004A7722"/>
    <w:rsid w:val="004C10D1"/>
    <w:rsid w:val="004C1175"/>
    <w:rsid w:val="004C1F58"/>
    <w:rsid w:val="004C36DB"/>
    <w:rsid w:val="004D131A"/>
    <w:rsid w:val="004D31EC"/>
    <w:rsid w:val="004E5966"/>
    <w:rsid w:val="004F1261"/>
    <w:rsid w:val="0050641D"/>
    <w:rsid w:val="00510CF9"/>
    <w:rsid w:val="00531BE3"/>
    <w:rsid w:val="00531C3D"/>
    <w:rsid w:val="005369D7"/>
    <w:rsid w:val="00550AFC"/>
    <w:rsid w:val="00555F51"/>
    <w:rsid w:val="005565AC"/>
    <w:rsid w:val="00564E3C"/>
    <w:rsid w:val="00575727"/>
    <w:rsid w:val="005773F7"/>
    <w:rsid w:val="005826E6"/>
    <w:rsid w:val="005845F6"/>
    <w:rsid w:val="0058734A"/>
    <w:rsid w:val="00591B3A"/>
    <w:rsid w:val="0059649C"/>
    <w:rsid w:val="005A2AEF"/>
    <w:rsid w:val="005B4A7B"/>
    <w:rsid w:val="005B6573"/>
    <w:rsid w:val="005B6E40"/>
    <w:rsid w:val="005C47E6"/>
    <w:rsid w:val="005E44FA"/>
    <w:rsid w:val="005F33CC"/>
    <w:rsid w:val="005F575E"/>
    <w:rsid w:val="005F6371"/>
    <w:rsid w:val="00601986"/>
    <w:rsid w:val="00602B50"/>
    <w:rsid w:val="00603771"/>
    <w:rsid w:val="006123C0"/>
    <w:rsid w:val="0062578D"/>
    <w:rsid w:val="00630891"/>
    <w:rsid w:val="0065144E"/>
    <w:rsid w:val="0065719B"/>
    <w:rsid w:val="00666BE5"/>
    <w:rsid w:val="00671A91"/>
    <w:rsid w:val="0068293A"/>
    <w:rsid w:val="00690BCC"/>
    <w:rsid w:val="0069467B"/>
    <w:rsid w:val="006A18AF"/>
    <w:rsid w:val="006A3D81"/>
    <w:rsid w:val="006A631C"/>
    <w:rsid w:val="006C0CCC"/>
    <w:rsid w:val="006C2BBC"/>
    <w:rsid w:val="006D4E80"/>
    <w:rsid w:val="006E7E0D"/>
    <w:rsid w:val="006F3A57"/>
    <w:rsid w:val="006F69D9"/>
    <w:rsid w:val="00700786"/>
    <w:rsid w:val="00702C7A"/>
    <w:rsid w:val="00702DF7"/>
    <w:rsid w:val="00705C1F"/>
    <w:rsid w:val="00707205"/>
    <w:rsid w:val="00720B4B"/>
    <w:rsid w:val="0073073B"/>
    <w:rsid w:val="00730743"/>
    <w:rsid w:val="00733EEE"/>
    <w:rsid w:val="00734B50"/>
    <w:rsid w:val="007450D4"/>
    <w:rsid w:val="00745E86"/>
    <w:rsid w:val="007513D2"/>
    <w:rsid w:val="007541F8"/>
    <w:rsid w:val="007610AB"/>
    <w:rsid w:val="00782C22"/>
    <w:rsid w:val="00784BFB"/>
    <w:rsid w:val="007862E9"/>
    <w:rsid w:val="007967D9"/>
    <w:rsid w:val="007A0C17"/>
    <w:rsid w:val="007A0D4E"/>
    <w:rsid w:val="007A73AA"/>
    <w:rsid w:val="007A782D"/>
    <w:rsid w:val="007B4768"/>
    <w:rsid w:val="007C73EB"/>
    <w:rsid w:val="007D19D3"/>
    <w:rsid w:val="007D4353"/>
    <w:rsid w:val="007D7081"/>
    <w:rsid w:val="007E4A2A"/>
    <w:rsid w:val="007E5374"/>
    <w:rsid w:val="007E6949"/>
    <w:rsid w:val="00801AE3"/>
    <w:rsid w:val="00803598"/>
    <w:rsid w:val="00812734"/>
    <w:rsid w:val="00822FE3"/>
    <w:rsid w:val="00827FA5"/>
    <w:rsid w:val="0083482F"/>
    <w:rsid w:val="008405A6"/>
    <w:rsid w:val="00855D89"/>
    <w:rsid w:val="00857815"/>
    <w:rsid w:val="0085799F"/>
    <w:rsid w:val="00860E2B"/>
    <w:rsid w:val="0086126F"/>
    <w:rsid w:val="008726E2"/>
    <w:rsid w:val="00874C99"/>
    <w:rsid w:val="0088276D"/>
    <w:rsid w:val="00882D04"/>
    <w:rsid w:val="008905B0"/>
    <w:rsid w:val="00890761"/>
    <w:rsid w:val="008A0BCB"/>
    <w:rsid w:val="008A0CB2"/>
    <w:rsid w:val="008D08A8"/>
    <w:rsid w:val="008D2433"/>
    <w:rsid w:val="008E3483"/>
    <w:rsid w:val="008E5209"/>
    <w:rsid w:val="008F0494"/>
    <w:rsid w:val="008F1D6E"/>
    <w:rsid w:val="0091170D"/>
    <w:rsid w:val="009160E1"/>
    <w:rsid w:val="0092465C"/>
    <w:rsid w:val="009263AC"/>
    <w:rsid w:val="00934890"/>
    <w:rsid w:val="009352D5"/>
    <w:rsid w:val="00950021"/>
    <w:rsid w:val="0096110F"/>
    <w:rsid w:val="009768FB"/>
    <w:rsid w:val="00983315"/>
    <w:rsid w:val="009A182A"/>
    <w:rsid w:val="009A3BA4"/>
    <w:rsid w:val="009B3B2B"/>
    <w:rsid w:val="009B5E2C"/>
    <w:rsid w:val="009B795A"/>
    <w:rsid w:val="009C2A50"/>
    <w:rsid w:val="009C6FE2"/>
    <w:rsid w:val="009D58D9"/>
    <w:rsid w:val="009D7FB9"/>
    <w:rsid w:val="009E7DF9"/>
    <w:rsid w:val="009F12A7"/>
    <w:rsid w:val="009F20AE"/>
    <w:rsid w:val="009F257D"/>
    <w:rsid w:val="00A0130B"/>
    <w:rsid w:val="00A01BD0"/>
    <w:rsid w:val="00A06B19"/>
    <w:rsid w:val="00A06C49"/>
    <w:rsid w:val="00A16C5A"/>
    <w:rsid w:val="00A3027C"/>
    <w:rsid w:val="00A30BA4"/>
    <w:rsid w:val="00A342A7"/>
    <w:rsid w:val="00A349AA"/>
    <w:rsid w:val="00A41EEE"/>
    <w:rsid w:val="00A45C63"/>
    <w:rsid w:val="00A46A7F"/>
    <w:rsid w:val="00A564F9"/>
    <w:rsid w:val="00A609A3"/>
    <w:rsid w:val="00A6277B"/>
    <w:rsid w:val="00A62C84"/>
    <w:rsid w:val="00A631C2"/>
    <w:rsid w:val="00A65303"/>
    <w:rsid w:val="00A7110A"/>
    <w:rsid w:val="00A74CCC"/>
    <w:rsid w:val="00A82DED"/>
    <w:rsid w:val="00A84C9A"/>
    <w:rsid w:val="00A97B59"/>
    <w:rsid w:val="00AA2447"/>
    <w:rsid w:val="00AA3309"/>
    <w:rsid w:val="00AA45DE"/>
    <w:rsid w:val="00AB5C90"/>
    <w:rsid w:val="00AC54AF"/>
    <w:rsid w:val="00AC620E"/>
    <w:rsid w:val="00AD0ADD"/>
    <w:rsid w:val="00AD57A6"/>
    <w:rsid w:val="00AE0BD1"/>
    <w:rsid w:val="00AE4E69"/>
    <w:rsid w:val="00AE5C01"/>
    <w:rsid w:val="00B10612"/>
    <w:rsid w:val="00B20F0E"/>
    <w:rsid w:val="00B22ADF"/>
    <w:rsid w:val="00B24DE7"/>
    <w:rsid w:val="00B3544D"/>
    <w:rsid w:val="00B35EB8"/>
    <w:rsid w:val="00B435F5"/>
    <w:rsid w:val="00B51B31"/>
    <w:rsid w:val="00B614DF"/>
    <w:rsid w:val="00B71DBF"/>
    <w:rsid w:val="00BA1B67"/>
    <w:rsid w:val="00BA222E"/>
    <w:rsid w:val="00BA4A59"/>
    <w:rsid w:val="00BA5D2B"/>
    <w:rsid w:val="00BB05A3"/>
    <w:rsid w:val="00BB0885"/>
    <w:rsid w:val="00BB130C"/>
    <w:rsid w:val="00BC2055"/>
    <w:rsid w:val="00BC2B7A"/>
    <w:rsid w:val="00BC5E9C"/>
    <w:rsid w:val="00BD577F"/>
    <w:rsid w:val="00BE1BAD"/>
    <w:rsid w:val="00BE4329"/>
    <w:rsid w:val="00BE7166"/>
    <w:rsid w:val="00BF1C9C"/>
    <w:rsid w:val="00BF1F13"/>
    <w:rsid w:val="00BF25EA"/>
    <w:rsid w:val="00BF698D"/>
    <w:rsid w:val="00C04B92"/>
    <w:rsid w:val="00C103A7"/>
    <w:rsid w:val="00C17070"/>
    <w:rsid w:val="00C17101"/>
    <w:rsid w:val="00C2107C"/>
    <w:rsid w:val="00C30726"/>
    <w:rsid w:val="00C54827"/>
    <w:rsid w:val="00C62DBD"/>
    <w:rsid w:val="00C66011"/>
    <w:rsid w:val="00C759BF"/>
    <w:rsid w:val="00C75A07"/>
    <w:rsid w:val="00C828B4"/>
    <w:rsid w:val="00C87ADB"/>
    <w:rsid w:val="00C9043F"/>
    <w:rsid w:val="00C913B4"/>
    <w:rsid w:val="00C94C02"/>
    <w:rsid w:val="00C96DA9"/>
    <w:rsid w:val="00CA02AC"/>
    <w:rsid w:val="00CA10FD"/>
    <w:rsid w:val="00CB6CF8"/>
    <w:rsid w:val="00CC06EA"/>
    <w:rsid w:val="00CC489F"/>
    <w:rsid w:val="00CD34D2"/>
    <w:rsid w:val="00CD4099"/>
    <w:rsid w:val="00CF511B"/>
    <w:rsid w:val="00CF57AE"/>
    <w:rsid w:val="00D10D79"/>
    <w:rsid w:val="00D1436F"/>
    <w:rsid w:val="00D15AF3"/>
    <w:rsid w:val="00D16047"/>
    <w:rsid w:val="00D2217D"/>
    <w:rsid w:val="00D24595"/>
    <w:rsid w:val="00D31A79"/>
    <w:rsid w:val="00D33ED2"/>
    <w:rsid w:val="00D54A9B"/>
    <w:rsid w:val="00D557F6"/>
    <w:rsid w:val="00D617BA"/>
    <w:rsid w:val="00D63AE8"/>
    <w:rsid w:val="00D71101"/>
    <w:rsid w:val="00D77276"/>
    <w:rsid w:val="00D8309E"/>
    <w:rsid w:val="00D92DBC"/>
    <w:rsid w:val="00DA1D55"/>
    <w:rsid w:val="00DA6B5F"/>
    <w:rsid w:val="00DA6D7B"/>
    <w:rsid w:val="00DB29CD"/>
    <w:rsid w:val="00DB7D6F"/>
    <w:rsid w:val="00DD1B80"/>
    <w:rsid w:val="00DD2500"/>
    <w:rsid w:val="00DE333B"/>
    <w:rsid w:val="00DE3EC0"/>
    <w:rsid w:val="00DE6415"/>
    <w:rsid w:val="00DF0203"/>
    <w:rsid w:val="00DF12BB"/>
    <w:rsid w:val="00E0038A"/>
    <w:rsid w:val="00E01194"/>
    <w:rsid w:val="00E02A2F"/>
    <w:rsid w:val="00E055EA"/>
    <w:rsid w:val="00E107F2"/>
    <w:rsid w:val="00E1147B"/>
    <w:rsid w:val="00E12CA5"/>
    <w:rsid w:val="00E1388F"/>
    <w:rsid w:val="00E17565"/>
    <w:rsid w:val="00E236DA"/>
    <w:rsid w:val="00E474E8"/>
    <w:rsid w:val="00E4783D"/>
    <w:rsid w:val="00E529A2"/>
    <w:rsid w:val="00E55352"/>
    <w:rsid w:val="00E66462"/>
    <w:rsid w:val="00E85EDC"/>
    <w:rsid w:val="00E91A09"/>
    <w:rsid w:val="00E9281D"/>
    <w:rsid w:val="00E95051"/>
    <w:rsid w:val="00EA4287"/>
    <w:rsid w:val="00EB345E"/>
    <w:rsid w:val="00EC21F6"/>
    <w:rsid w:val="00EC3814"/>
    <w:rsid w:val="00EC63B6"/>
    <w:rsid w:val="00ED0FAB"/>
    <w:rsid w:val="00ED2843"/>
    <w:rsid w:val="00EE32E3"/>
    <w:rsid w:val="00F0320D"/>
    <w:rsid w:val="00F16821"/>
    <w:rsid w:val="00F16885"/>
    <w:rsid w:val="00F2108D"/>
    <w:rsid w:val="00F24D1A"/>
    <w:rsid w:val="00F2576D"/>
    <w:rsid w:val="00F26D0B"/>
    <w:rsid w:val="00F33E30"/>
    <w:rsid w:val="00F36ECC"/>
    <w:rsid w:val="00F46C22"/>
    <w:rsid w:val="00F51A08"/>
    <w:rsid w:val="00F75E9D"/>
    <w:rsid w:val="00F77312"/>
    <w:rsid w:val="00F80030"/>
    <w:rsid w:val="00F8367D"/>
    <w:rsid w:val="00F963E2"/>
    <w:rsid w:val="00FA1BB9"/>
    <w:rsid w:val="00FA7D41"/>
    <w:rsid w:val="00FB0820"/>
    <w:rsid w:val="00FB1BFB"/>
    <w:rsid w:val="00FB1F72"/>
    <w:rsid w:val="00FB4127"/>
    <w:rsid w:val="00FC30E6"/>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6BD291"/>
  <w15:docId w15:val="{42E13558-4D6F-4CE8-8167-2140F5D5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E32DF-595F-4CED-A89C-A86A69393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1029</Words>
  <Characters>5662</Characters>
  <Application>Microsoft Office Word</Application>
  <DocSecurity>0</DocSecurity>
  <Lines>47</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Gallegos</dc:creator>
  <cp:lastModifiedBy>7660@officeent.pw</cp:lastModifiedBy>
  <cp:revision>12</cp:revision>
  <cp:lastPrinted>2019-10-11T00:40:00Z</cp:lastPrinted>
  <dcterms:created xsi:type="dcterms:W3CDTF">2019-10-11T01:08:00Z</dcterms:created>
  <dcterms:modified xsi:type="dcterms:W3CDTF">2020-10-20T19:56:00Z</dcterms:modified>
</cp:coreProperties>
</file>