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6242"/>
      </w:tblGrid>
      <w:tr w:rsidR="00091285" w:rsidRPr="00E1388F" w14:paraId="31D6CD3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517E36C6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Fondo de Aportaciones para la Seguridad Pública (FASP)</w:t>
            </w:r>
          </w:p>
        </w:tc>
      </w:tr>
      <w:tr w:rsidR="00091285" w:rsidRPr="00E1388F" w14:paraId="6F6202EB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7DB0B16A" w:rsidR="00091285" w:rsidRPr="00AA45DE" w:rsidRDefault="009F20AE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Secretariado Ejecutivo del Sistema Estatal de Seguridad Pública de Sinaloa</w:t>
            </w:r>
          </w:p>
        </w:tc>
      </w:tr>
      <w:tr w:rsidR="00091285" w:rsidRPr="00E1388F" w14:paraId="180EC860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3C049D2E" w14:textId="10E97F68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Secretariado Ejecutivo del Sistema Estatal de Seguridad Pública de Sinaloa</w:t>
            </w:r>
          </w:p>
        </w:tc>
      </w:tr>
      <w:tr w:rsidR="00091285" w:rsidRPr="00E1388F" w14:paraId="08D1358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091285" w:rsidRPr="00E1388F" w14:paraId="0AAD0A0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6118605B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 w:rsidR="00C549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091285" w:rsidRPr="00E1388F" w14:paraId="0F5B205E" w14:textId="77777777" w:rsidTr="003578C1">
        <w:trPr>
          <w:trHeight w:val="300"/>
          <w:tblCellSpacing w:w="20" w:type="dxa"/>
        </w:trPr>
        <w:tc>
          <w:tcPr>
            <w:tcW w:w="9276" w:type="dxa"/>
            <w:gridSpan w:val="2"/>
            <w:shd w:val="clear" w:color="auto" w:fill="861D31"/>
            <w:noWrap/>
            <w:vAlign w:val="center"/>
          </w:tcPr>
          <w:p w14:paraId="5218755C" w14:textId="15263EF0" w:rsidR="00091285" w:rsidRPr="00AA45DE" w:rsidRDefault="00AA45DE" w:rsidP="009F20A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los hallazgos de la evaluación</w:t>
            </w:r>
          </w:p>
        </w:tc>
      </w:tr>
    </w:tbl>
    <w:p w14:paraId="77492E1D" w14:textId="57D50EE8" w:rsidR="00AA45DE" w:rsidRPr="0024769D" w:rsidRDefault="00AA45DE" w:rsidP="00F77312">
      <w:pPr>
        <w:spacing w:after="0"/>
        <w:rPr>
          <w:b/>
        </w:rPr>
      </w:pPr>
    </w:p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D63B7" w:rsidRPr="00F77312" w14:paraId="58322C92" w14:textId="77777777" w:rsidTr="002D63B7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4C192136" w14:textId="7EC1C8B5" w:rsidR="00F77312" w:rsidRPr="00F77312" w:rsidRDefault="00F77312" w:rsidP="003578C1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7B1BE5C3" w14:textId="29DC6758" w:rsidR="00F77312" w:rsidRPr="00F77312" w:rsidRDefault="00F77312" w:rsidP="003578C1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784A5F2D" w14:textId="59094A28" w:rsidR="00F77312" w:rsidRPr="00F77312" w:rsidRDefault="00F77312" w:rsidP="003578C1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D63B7" w:rsidRPr="00930172" w14:paraId="3E3516AB" w14:textId="77777777" w:rsidTr="00095E27">
        <w:trPr>
          <w:trHeight w:val="5366"/>
          <w:tblHeader/>
        </w:trPr>
        <w:tc>
          <w:tcPr>
            <w:tcW w:w="3085" w:type="dxa"/>
          </w:tcPr>
          <w:p w14:paraId="7D9248CF" w14:textId="5852900C" w:rsidR="0024769D" w:rsidRDefault="0024769D" w:rsidP="00AA520E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Ausencia de una política estatal en materia de prevención social de la violencia y delincuencia, que armonice las prioridades institucionales estatales y municipales con el programa nacional acordado con el SESNSP.</w:t>
            </w:r>
          </w:p>
        </w:tc>
        <w:tc>
          <w:tcPr>
            <w:tcW w:w="3119" w:type="dxa"/>
          </w:tcPr>
          <w:p w14:paraId="70003A70" w14:textId="1A0CDB69" w:rsidR="0024769D" w:rsidRDefault="00095E27" w:rsidP="001C6638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Es factible </w:t>
            </w:r>
            <w:r w:rsidR="00F81DCE">
              <w:rPr>
                <w:rFonts w:asciiTheme="minorHAnsi" w:hAnsiTheme="minorHAnsi"/>
                <w:iCs/>
                <w:sz w:val="24"/>
                <w:szCs w:val="24"/>
              </w:rPr>
              <w:t>a</w:t>
            </w:r>
            <w:r w:rsidR="00F81DCE" w:rsidRPr="00F81DCE">
              <w:rPr>
                <w:rFonts w:asciiTheme="minorHAnsi" w:hAnsiTheme="minorHAnsi"/>
                <w:iCs/>
                <w:sz w:val="24"/>
                <w:szCs w:val="24"/>
              </w:rPr>
              <w:t>rmonizar las prioridades institucionales estatales y municipales con el programa nacional acordado con el SESNSP.</w:t>
            </w:r>
          </w:p>
        </w:tc>
        <w:tc>
          <w:tcPr>
            <w:tcW w:w="3152" w:type="dxa"/>
          </w:tcPr>
          <w:p w14:paraId="58476588" w14:textId="28E1B85A" w:rsidR="0024769D" w:rsidRPr="00F81DCE" w:rsidRDefault="00F81DCE" w:rsidP="00F81DC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espera concretar </w:t>
            </w:r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>Programa Estatal de Prevención de la Violencia y la Delincuencia, con Participación Ciudadana.</w:t>
            </w:r>
          </w:p>
          <w:p w14:paraId="766A29F6" w14:textId="77777777" w:rsidR="00F81DCE" w:rsidRDefault="00F81DCE" w:rsidP="00F81DC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</w:p>
          <w:p w14:paraId="53CEC3A9" w14:textId="4D5083ED" w:rsidR="00F81DCE" w:rsidRDefault="00F81DCE" w:rsidP="00F81DC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Además, se realizará</w:t>
            </w:r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 xml:space="preserve"> una homologación de dicho programa para tenerlo acorde a las políticas y programas implementados por el Centro Nacional de Prevención del Delito y Participación Ciudadana del Secretariado Ejecutivo del Sistema Nacional de Seguridad Pública.</w:t>
            </w:r>
          </w:p>
        </w:tc>
      </w:tr>
    </w:tbl>
    <w:p w14:paraId="5C7F259F" w14:textId="1F80A8CF" w:rsidR="002D63B7" w:rsidRDefault="002D63B7"/>
    <w:p w14:paraId="25D8DB80" w14:textId="77777777" w:rsidR="002D63B7" w:rsidRDefault="002D63B7">
      <w:pPr>
        <w:spacing w:after="0" w:line="240" w:lineRule="auto"/>
      </w:pPr>
      <w:r>
        <w:br w:type="page"/>
      </w:r>
    </w:p>
    <w:p w14:paraId="5E19D156" w14:textId="77777777" w:rsidR="002D63B7" w:rsidRDefault="002D63B7"/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D63B7" w:rsidRPr="00930172" w14:paraId="74567493" w14:textId="77777777" w:rsidTr="002D63B7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65A628AE" w14:textId="31CB2E19" w:rsidR="002D63B7" w:rsidRPr="0024769D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327389F5" w14:textId="5AB45524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15804151" w14:textId="53331AAC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D63B7" w:rsidRPr="00930172" w14:paraId="377AEED1" w14:textId="77777777" w:rsidTr="00095E27">
        <w:trPr>
          <w:trHeight w:val="3143"/>
          <w:tblHeader/>
        </w:trPr>
        <w:tc>
          <w:tcPr>
            <w:tcW w:w="3085" w:type="dxa"/>
          </w:tcPr>
          <w:p w14:paraId="7C804EBD" w14:textId="460EF323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Falta de cultura cívica y de prevención del delito entre la población, así como ausencia de campañas de difusión por medios impresos y electrónicos y utilización de las redes sociales para contribuir a la toma de conciencia acerca de este problema social.</w:t>
            </w:r>
          </w:p>
        </w:tc>
        <w:tc>
          <w:tcPr>
            <w:tcW w:w="3119" w:type="dxa"/>
          </w:tcPr>
          <w:p w14:paraId="615995FB" w14:textId="13310C48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</w:t>
            </w:r>
            <w:r w:rsidR="00095E27">
              <w:rPr>
                <w:rFonts w:asciiTheme="minorHAnsi" w:hAnsiTheme="minorHAnsi"/>
                <w:iCs/>
                <w:sz w:val="24"/>
                <w:szCs w:val="24"/>
              </w:rPr>
              <w:t xml:space="preserve">buscará crear 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una </w:t>
            </w:r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>cultura cívica y de prevención del delito entre la poblaci</w:t>
            </w:r>
            <w:bookmarkStart w:id="0" w:name="_GoBack"/>
            <w:bookmarkEnd w:id="0"/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>ón.</w:t>
            </w:r>
          </w:p>
        </w:tc>
        <w:tc>
          <w:tcPr>
            <w:tcW w:w="3152" w:type="dxa"/>
          </w:tcPr>
          <w:p w14:paraId="44DB989F" w14:textId="4F114423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</w:t>
            </w:r>
            <w:r w:rsidR="00095E27">
              <w:rPr>
                <w:rFonts w:asciiTheme="minorHAnsi" w:hAnsiTheme="minorHAnsi"/>
                <w:iCs/>
                <w:sz w:val="24"/>
                <w:szCs w:val="24"/>
              </w:rPr>
              <w:t xml:space="preserve">incrementará la </w:t>
            </w:r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>difusión y socialización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 de los diferentes programas preventivos que realiza el 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>Centro Estatal de Prevención y Participación Ciudadana</w:t>
            </w:r>
            <w:r w:rsidRPr="00F81DCE">
              <w:rPr>
                <w:rFonts w:asciiTheme="minorHAnsi" w:hAnsiTheme="minorHAnsi"/>
                <w:iCs/>
                <w:sz w:val="24"/>
                <w:szCs w:val="24"/>
              </w:rPr>
              <w:t>, en las redes sociales del Centro Estatal, y en coordinación y colaboración con las redes institucionales del estado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</w:tr>
      <w:tr w:rsidR="002D63B7" w:rsidRPr="00930172" w14:paraId="1D8B0085" w14:textId="77777777" w:rsidTr="00FF453A">
        <w:trPr>
          <w:trHeight w:val="4363"/>
          <w:tblHeader/>
        </w:trPr>
        <w:tc>
          <w:tcPr>
            <w:tcW w:w="3085" w:type="dxa"/>
          </w:tcPr>
          <w:p w14:paraId="2D88E3EA" w14:textId="7C0C4EC9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Las instituciones policiales se involucran poco o prácticamente nada en los programas de prevención de la violencia y la delincuencia que son llevados a cabo por diversas dependencias del gobierno estatal.</w:t>
            </w:r>
          </w:p>
        </w:tc>
        <w:tc>
          <w:tcPr>
            <w:tcW w:w="3119" w:type="dxa"/>
          </w:tcPr>
          <w:p w14:paraId="779C4F43" w14:textId="535DC9A9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</w:t>
            </w:r>
            <w:r w:rsidR="00095E27">
              <w:rPr>
                <w:rFonts w:asciiTheme="minorHAnsi" w:hAnsiTheme="minorHAnsi"/>
                <w:iCs/>
                <w:sz w:val="24"/>
                <w:szCs w:val="24"/>
              </w:rPr>
              <w:t xml:space="preserve">considera factible involucrar a las instituciones policiales 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en 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>los programas de prevención de la violencia y la delincuencia llevados a cabo por diversas dependencias del gobierno estatal y municipal.</w:t>
            </w:r>
          </w:p>
        </w:tc>
        <w:tc>
          <w:tcPr>
            <w:tcW w:w="3152" w:type="dxa"/>
          </w:tcPr>
          <w:p w14:paraId="49E622F8" w14:textId="77777777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instalará una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 xml:space="preserve"> Mesa Interinstitucional, con la finalidad de atender de manera integral la problemática presentada en diversas instituciones educativas, y lograr la participación e intervención de todas las dependencias e instituciones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  <w:p w14:paraId="1CD84DAD" w14:textId="77777777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</w:p>
          <w:p w14:paraId="4299B394" w14:textId="5849943C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>lleva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rá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 xml:space="preserve"> a cabo la Campaña Estatal de Donación de Armas de Fuego</w:t>
            </w:r>
          </w:p>
        </w:tc>
      </w:tr>
      <w:tr w:rsidR="002D63B7" w:rsidRPr="00930172" w14:paraId="7BE77D41" w14:textId="77777777" w:rsidTr="00095E27">
        <w:trPr>
          <w:trHeight w:val="2307"/>
          <w:tblHeader/>
        </w:trPr>
        <w:tc>
          <w:tcPr>
            <w:tcW w:w="3085" w:type="dxa"/>
          </w:tcPr>
          <w:p w14:paraId="0B062CDB" w14:textId="010F82A6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Si bien existen los instrumentos jurídicos que soportan la existencia del Servicio de Carrera Policial (SCP), aún no se alcanza la certificación de la totalidad de los elementos policiales.</w:t>
            </w:r>
          </w:p>
        </w:tc>
        <w:tc>
          <w:tcPr>
            <w:tcW w:w="3119" w:type="dxa"/>
          </w:tcPr>
          <w:p w14:paraId="06F389BB" w14:textId="35A045F0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espera alcanzar un 4% de la certificación a Policías Estatales que componen la corporación. </w:t>
            </w:r>
          </w:p>
        </w:tc>
        <w:tc>
          <w:tcPr>
            <w:tcW w:w="3152" w:type="dxa"/>
          </w:tcPr>
          <w:p w14:paraId="47F778F0" w14:textId="500E2AD1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certificará </w:t>
            </w:r>
            <w:r>
              <w:t xml:space="preserve">a </w:t>
            </w:r>
            <w:r w:rsidRPr="003A71C0">
              <w:rPr>
                <w:rFonts w:asciiTheme="minorHAnsi" w:hAnsiTheme="minorHAnsi"/>
                <w:iCs/>
                <w:sz w:val="24"/>
                <w:szCs w:val="24"/>
              </w:rPr>
              <w:t>la totalidad de los elementos policiales.</w:t>
            </w:r>
          </w:p>
        </w:tc>
      </w:tr>
    </w:tbl>
    <w:p w14:paraId="6A931518" w14:textId="6B8DF308" w:rsidR="002D63B7" w:rsidRDefault="00F81DCE" w:rsidP="002D63B7">
      <w:pPr>
        <w:spacing w:after="0" w:line="240" w:lineRule="auto"/>
      </w:pPr>
      <w:r>
        <w:br w:type="page"/>
      </w:r>
    </w:p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D63B7" w:rsidRPr="00930172" w14:paraId="486F293D" w14:textId="77777777" w:rsidTr="002D63B7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7FE4CA1C" w14:textId="38871D5B" w:rsidR="002D63B7" w:rsidRPr="0024769D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lastRenderedPageBreak/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072A8B63" w14:textId="327DF39E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06320825" w14:textId="24F7B9C9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D63B7" w:rsidRPr="00930172" w14:paraId="07E34FB3" w14:textId="77777777" w:rsidTr="00FF453A">
        <w:trPr>
          <w:trHeight w:val="3981"/>
          <w:tblHeader/>
        </w:trPr>
        <w:tc>
          <w:tcPr>
            <w:tcW w:w="3085" w:type="dxa"/>
          </w:tcPr>
          <w:p w14:paraId="07CEC7EF" w14:textId="7A52191C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Red de radiocomunicación estatal insuficiente y obsoleta para las necesidades de oportunidad y cobertura de los eventos, pero sobre todo por la seguridad y confiabilidad que se requieren para no ser objeto de intervenciones que afectan la efectividad de las acciones policiales.</w:t>
            </w:r>
          </w:p>
        </w:tc>
        <w:tc>
          <w:tcPr>
            <w:tcW w:w="3119" w:type="dxa"/>
          </w:tcPr>
          <w:p w14:paraId="22D8DA04" w14:textId="7C624E8E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</w:t>
            </w:r>
            <w:r w:rsidR="00614DBD">
              <w:rPr>
                <w:rFonts w:asciiTheme="minorHAnsi" w:hAnsiTheme="minorHAnsi"/>
                <w:iCs/>
                <w:sz w:val="24"/>
                <w:szCs w:val="24"/>
              </w:rPr>
              <w:t>buscará</w:t>
            </w:r>
            <w:r w:rsidR="00095E27">
              <w:rPr>
                <w:rFonts w:asciiTheme="minorHAnsi" w:hAnsiTheme="minorHAnsi"/>
                <w:iCs/>
                <w:sz w:val="24"/>
                <w:szCs w:val="24"/>
              </w:rPr>
              <w:t xml:space="preserve"> actualizar e incrementar la red de radiocomunicación</w:t>
            </w:r>
            <w:r w:rsidR="00614DBD"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  <w:tc>
          <w:tcPr>
            <w:tcW w:w="3152" w:type="dxa"/>
          </w:tcPr>
          <w:p w14:paraId="74309C26" w14:textId="050F1066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contará con una red de radiocomunicación estatal con una cobertura de alrededor del 100%</w:t>
            </w:r>
            <w:r w:rsidR="00095E27">
              <w:rPr>
                <w:rFonts w:asciiTheme="minorHAnsi" w:hAnsiTheme="minorHAnsi"/>
                <w:iCs/>
                <w:sz w:val="24"/>
                <w:szCs w:val="24"/>
              </w:rPr>
              <w:t xml:space="preserve">, </w:t>
            </w:r>
            <w:r w:rsidR="00095E27" w:rsidRPr="00095E27">
              <w:rPr>
                <w:rFonts w:asciiTheme="minorHAnsi" w:hAnsiTheme="minorHAnsi"/>
                <w:iCs/>
                <w:sz w:val="24"/>
                <w:szCs w:val="24"/>
              </w:rPr>
              <w:t>suficiente y moderna para las necesidades de oportunidad y cobertura de los eventos, pero sobre todo por la seguridad y confiabilidad que se requieren para no ser objeto de intervenciones que afectan la efectividad de las acciones policiales</w:t>
            </w:r>
          </w:p>
        </w:tc>
      </w:tr>
      <w:tr w:rsidR="002D63B7" w:rsidRPr="00930172" w14:paraId="3A23FF4E" w14:textId="77777777" w:rsidTr="00FF453A">
        <w:trPr>
          <w:trHeight w:val="1982"/>
          <w:tblHeader/>
        </w:trPr>
        <w:tc>
          <w:tcPr>
            <w:tcW w:w="3085" w:type="dxa"/>
          </w:tcPr>
          <w:p w14:paraId="19AA5DE2" w14:textId="511498C1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Insuficiencia de la red de video vigilancia, pues su cobertura actual se concentra solamente en tres municipios: Culiacán, Mazatlán y Ahome.</w:t>
            </w:r>
          </w:p>
        </w:tc>
        <w:tc>
          <w:tcPr>
            <w:tcW w:w="3119" w:type="dxa"/>
          </w:tcPr>
          <w:p w14:paraId="37E06D9C" w14:textId="28C174F4" w:rsidR="002D63B7" w:rsidRDefault="00614DBD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buscará fortalecer el sistema de video vigilancia.</w:t>
            </w:r>
          </w:p>
        </w:tc>
        <w:tc>
          <w:tcPr>
            <w:tcW w:w="3152" w:type="dxa"/>
          </w:tcPr>
          <w:p w14:paraId="37D9D097" w14:textId="6F467147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mantendrá una red de video vigilancia para tener mayor cobertura de municipios y una mayor capacidad de respuesta.</w:t>
            </w:r>
          </w:p>
        </w:tc>
      </w:tr>
      <w:tr w:rsidR="002D63B7" w:rsidRPr="00930172" w14:paraId="602ECDEB" w14:textId="77777777" w:rsidTr="00FF453A">
        <w:trPr>
          <w:trHeight w:val="1543"/>
          <w:tblHeader/>
        </w:trPr>
        <w:tc>
          <w:tcPr>
            <w:tcW w:w="3085" w:type="dxa"/>
          </w:tcPr>
          <w:p w14:paraId="35F91D52" w14:textId="4F41018D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Insuficiencia de personal especializado en el monitoreo y control de la red de video vigilancia.</w:t>
            </w:r>
          </w:p>
        </w:tc>
        <w:tc>
          <w:tcPr>
            <w:tcW w:w="3119" w:type="dxa"/>
          </w:tcPr>
          <w:p w14:paraId="30E6A1EA" w14:textId="57723F7C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Se espera </w:t>
            </w:r>
            <w:r w:rsidR="00BF5FF6">
              <w:rPr>
                <w:rFonts w:asciiTheme="minorHAnsi" w:hAnsiTheme="minorHAnsi"/>
                <w:iCs/>
                <w:sz w:val="24"/>
                <w:szCs w:val="24"/>
              </w:rPr>
              <w:t>otorgar capacitación al personal en monitoreo y control de la red de video vigilancia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  <w:tc>
          <w:tcPr>
            <w:tcW w:w="3152" w:type="dxa"/>
          </w:tcPr>
          <w:p w14:paraId="1ADE60A8" w14:textId="580C0A71" w:rsidR="002D63B7" w:rsidRDefault="00BF5FF6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 w:rsidRPr="00BF5FF6">
              <w:rPr>
                <w:rFonts w:asciiTheme="minorHAnsi" w:hAnsiTheme="minorHAnsi"/>
                <w:iCs/>
                <w:sz w:val="24"/>
                <w:szCs w:val="24"/>
              </w:rPr>
              <w:t>Contar con personal especializado en el monitoreo y control de la red de video vigilancia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</w:tr>
      <w:tr w:rsidR="002D63B7" w:rsidRPr="00930172" w14:paraId="4910A355" w14:textId="77777777" w:rsidTr="002D63B7">
        <w:trPr>
          <w:tblHeader/>
        </w:trPr>
        <w:tc>
          <w:tcPr>
            <w:tcW w:w="3085" w:type="dxa"/>
          </w:tcPr>
          <w:p w14:paraId="06F42A04" w14:textId="655AC25B" w:rsidR="002D63B7" w:rsidRDefault="002D63B7" w:rsidP="002D63B7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Limitaciones en la infraestructura y el equipo tecnológico existente en el Centro de Comando, Control, Comunicaciones, Cómputo e Inteligencia (C4i).</w:t>
            </w:r>
          </w:p>
        </w:tc>
        <w:tc>
          <w:tcPr>
            <w:tcW w:w="3119" w:type="dxa"/>
          </w:tcPr>
          <w:p w14:paraId="5FFC86FC" w14:textId="539CAB66" w:rsidR="002D63B7" w:rsidRDefault="00BF5FF6" w:rsidP="00A40FF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buscará actualizar la infraestructura y el equipo tecnológico con que se cuenta actualmente.</w:t>
            </w:r>
          </w:p>
        </w:tc>
        <w:tc>
          <w:tcPr>
            <w:tcW w:w="3152" w:type="dxa"/>
          </w:tcPr>
          <w:p w14:paraId="5E5D8A45" w14:textId="77777777" w:rsidR="002D63B7" w:rsidRDefault="00BF5FF6" w:rsidP="00BF5FF6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 w:rsidRPr="00BF5FF6">
              <w:rPr>
                <w:rFonts w:asciiTheme="minorHAnsi" w:hAnsiTheme="minorHAnsi"/>
                <w:iCs/>
                <w:sz w:val="24"/>
                <w:szCs w:val="24"/>
              </w:rPr>
              <w:t>Modernizar la Infraestructura y equipo tecnológico existente en el Centro de Comando, Control, Comunicaciones, Cómputo e Inteligencia (C4i), sustituyendo lo obsoleto.</w:t>
            </w:r>
          </w:p>
          <w:p w14:paraId="75D35FD7" w14:textId="66CCEAEE" w:rsidR="00BF5FF6" w:rsidRDefault="00BF5FF6" w:rsidP="00BF5FF6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</w:p>
        </w:tc>
      </w:tr>
    </w:tbl>
    <w:p w14:paraId="3CD65755" w14:textId="77777777" w:rsidR="00FF453A" w:rsidRDefault="00FF453A"/>
    <w:p w14:paraId="569B82D7" w14:textId="77777777" w:rsidR="00FF453A" w:rsidRDefault="00FF453A"/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FF453A" w:rsidRPr="00930172" w14:paraId="157C24C6" w14:textId="77777777" w:rsidTr="00FF453A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019FB437" w14:textId="502C7837" w:rsidR="00FF453A" w:rsidRPr="00FF453A" w:rsidRDefault="00FF453A" w:rsidP="00FF453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lastRenderedPageBreak/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66D16424" w14:textId="550CC253" w:rsidR="00FF453A" w:rsidRDefault="00FF453A" w:rsidP="00FF453A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09FBA1D5" w14:textId="6587DD04" w:rsidR="00FF453A" w:rsidRDefault="00FF453A" w:rsidP="00FF453A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FF453A" w:rsidRPr="00930172" w14:paraId="37209A1B" w14:textId="77777777" w:rsidTr="002D63B7">
        <w:trPr>
          <w:tblHeader/>
        </w:trPr>
        <w:tc>
          <w:tcPr>
            <w:tcW w:w="3085" w:type="dxa"/>
          </w:tcPr>
          <w:p w14:paraId="69D8CB2E" w14:textId="2E45779D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F453A">
              <w:rPr>
                <w:rFonts w:asciiTheme="minorHAnsi" w:hAnsiTheme="minorHAnsi"/>
                <w:sz w:val="24"/>
                <w:szCs w:val="24"/>
              </w:rPr>
              <w:t>Persisten problemas para la debida implantación de las reformas del nuevo sistema de justicia penal: capacitación al personal y específicamente a policías preventivos y de investigación; construcción de salas de juicio oral suficientes; difusión de los beneficios del nuevo sistema de justicia penal; mejoras en la infraestructura del Centro de Internamiento para Adolescentes y en reclusorios; así como, tecnología y recursos humanos suficientes para la aplicación de las medidas cautelares.</w:t>
            </w:r>
          </w:p>
        </w:tc>
        <w:tc>
          <w:tcPr>
            <w:tcW w:w="3119" w:type="dxa"/>
          </w:tcPr>
          <w:p w14:paraId="3CF78F02" w14:textId="273D7E27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considera factible llevar a cabo capacitaciones de personal, así como mejorar la infraestructura.</w:t>
            </w:r>
          </w:p>
        </w:tc>
        <w:tc>
          <w:tcPr>
            <w:tcW w:w="3152" w:type="dxa"/>
          </w:tcPr>
          <w:p w14:paraId="00361DC4" w14:textId="4FEE81F1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brindarán capacitaciones a personal (policías preventivos y policías de investigación) y actualizar la infraestructura del Centro de Internamiento para Adolescentes y en reclusorios.</w:t>
            </w:r>
          </w:p>
        </w:tc>
      </w:tr>
      <w:tr w:rsidR="00FF453A" w:rsidRPr="00930172" w14:paraId="180373D5" w14:textId="77777777" w:rsidTr="002D63B7">
        <w:trPr>
          <w:tblHeader/>
        </w:trPr>
        <w:tc>
          <w:tcPr>
            <w:tcW w:w="3085" w:type="dxa"/>
          </w:tcPr>
          <w:p w14:paraId="32A9D615" w14:textId="5874C110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4769D">
              <w:rPr>
                <w:rFonts w:asciiTheme="minorHAnsi" w:hAnsiTheme="minorHAnsi"/>
                <w:sz w:val="24"/>
                <w:szCs w:val="24"/>
              </w:rPr>
              <w:t>El Gobierno del Estado de Sinaloa, reconoce que existe un déficit en materia de personal de custodia, lo que impacta negativamente en el funcionamiento de los centros penitenciarios.</w:t>
            </w:r>
          </w:p>
        </w:tc>
        <w:tc>
          <w:tcPr>
            <w:tcW w:w="3119" w:type="dxa"/>
          </w:tcPr>
          <w:p w14:paraId="38869F7F" w14:textId="5AD2C6AD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Se buscará incrementar el personal de custodia.</w:t>
            </w:r>
          </w:p>
        </w:tc>
        <w:tc>
          <w:tcPr>
            <w:tcW w:w="3152" w:type="dxa"/>
          </w:tcPr>
          <w:p w14:paraId="1FA1AA00" w14:textId="31669F9C" w:rsidR="00FF453A" w:rsidRDefault="00FF453A" w:rsidP="00FF453A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 w:rsidRPr="00AB3DF6">
              <w:rPr>
                <w:rFonts w:asciiTheme="minorHAnsi" w:hAnsiTheme="minorHAnsi"/>
                <w:iCs/>
                <w:sz w:val="24"/>
                <w:szCs w:val="24"/>
              </w:rPr>
              <w:t>Mejorar el funcionamiento de los centros penitenciarios.</w:t>
            </w:r>
          </w:p>
        </w:tc>
      </w:tr>
    </w:tbl>
    <w:p w14:paraId="477B97BD" w14:textId="245DDB61" w:rsidR="00FF453A" w:rsidRDefault="00FF453A"/>
    <w:p w14:paraId="3FB5CF16" w14:textId="77777777" w:rsidR="00FF453A" w:rsidRDefault="00FF453A">
      <w:pPr>
        <w:spacing w:after="0" w:line="240" w:lineRule="auto"/>
      </w:pPr>
      <w:r>
        <w:br w:type="page"/>
      </w:r>
    </w:p>
    <w:p w14:paraId="447DACE0" w14:textId="77777777" w:rsidR="0024769D" w:rsidRDefault="0024769D"/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4769D" w:rsidRPr="00930172" w14:paraId="5D796C36" w14:textId="77777777" w:rsidTr="002D63B7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0C00763A" w14:textId="54702D1A" w:rsidR="0024769D" w:rsidRDefault="0024769D" w:rsidP="002476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08C458E1" w14:textId="6E7F2FE2" w:rsidR="0024769D" w:rsidRDefault="0024769D" w:rsidP="0024769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6F925FFD" w14:textId="205CF175" w:rsidR="0024769D" w:rsidRDefault="0024769D" w:rsidP="0024769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4769D" w:rsidRPr="00930172" w14:paraId="4D3C4EB2" w14:textId="77777777" w:rsidTr="002D63B7">
        <w:trPr>
          <w:tblHeader/>
        </w:trPr>
        <w:tc>
          <w:tcPr>
            <w:tcW w:w="3085" w:type="dxa"/>
          </w:tcPr>
          <w:p w14:paraId="17E4B42F" w14:textId="7E32807A" w:rsidR="0024769D" w:rsidRPr="00930172" w:rsidRDefault="0024769D" w:rsidP="0024769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</w:t>
            </w:r>
            <w:r w:rsidRPr="00AA520E">
              <w:rPr>
                <w:rFonts w:asciiTheme="minorHAnsi" w:hAnsiTheme="minorHAnsi"/>
                <w:sz w:val="24"/>
                <w:szCs w:val="24"/>
              </w:rPr>
              <w:t xml:space="preserve"> tienen identificados en los procedimientos que no favorecen el cumplimiento de los objetivos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con oportunidad,</w:t>
            </w:r>
            <w:r w:rsidRPr="00AA520E">
              <w:rPr>
                <w:rFonts w:asciiTheme="minorHAnsi" w:hAnsiTheme="minorHAnsi"/>
                <w:sz w:val="24"/>
                <w:szCs w:val="24"/>
              </w:rPr>
              <w:t xml:space="preserve"> los tiempos requeridos en los procesos de los protocolos de firma del Anexo Técnico, de la licitación centralizada para la adquisición de bienes y servicios, reprogramaciones con excesivas regulaciones para su autorización, teniendo como resultado los desfasamientos de tiempos que se han requerido para realizar un ejercicio presupuestal con mayor eficiencia.</w:t>
            </w:r>
          </w:p>
        </w:tc>
        <w:tc>
          <w:tcPr>
            <w:tcW w:w="3119" w:type="dxa"/>
          </w:tcPr>
          <w:p w14:paraId="3BE12C11" w14:textId="2A914508" w:rsidR="0024769D" w:rsidRPr="003F09A1" w:rsidRDefault="0024769D" w:rsidP="0024769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Esta situación nos lleva a realizar ejercicios fiscales de ocho meses, alcanzando metas parciales en algunos programas.</w:t>
            </w:r>
          </w:p>
        </w:tc>
        <w:tc>
          <w:tcPr>
            <w:tcW w:w="3152" w:type="dxa"/>
          </w:tcPr>
          <w:p w14:paraId="48645C78" w14:textId="545D370D" w:rsidR="0024769D" w:rsidRPr="003F09A1" w:rsidRDefault="0024769D" w:rsidP="0024769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M</w:t>
            </w:r>
            <w:r w:rsidRPr="001C6638">
              <w:rPr>
                <w:rFonts w:asciiTheme="minorHAnsi" w:hAnsiTheme="minorHAnsi"/>
                <w:iCs/>
                <w:sz w:val="24"/>
                <w:szCs w:val="24"/>
              </w:rPr>
              <w:t>ejorar los tiempos de gestión de firmas del Anexo Técnico, lo que permitirá contar con resultados que simplifiquen el proceso del ejercicio del FASP.</w:t>
            </w:r>
          </w:p>
        </w:tc>
      </w:tr>
    </w:tbl>
    <w:p w14:paraId="1715C012" w14:textId="77777777" w:rsidR="0035745F" w:rsidRDefault="0035745F"/>
    <w:p w14:paraId="7D0DFF65" w14:textId="1D0BBC15" w:rsidR="0024769D" w:rsidRDefault="0024769D">
      <w:pPr>
        <w:spacing w:after="0" w:line="240" w:lineRule="auto"/>
      </w:pPr>
      <w:r>
        <w:br w:type="page"/>
      </w:r>
    </w:p>
    <w:p w14:paraId="663B24CE" w14:textId="77777777" w:rsidR="0024769D" w:rsidRDefault="0024769D"/>
    <w:tbl>
      <w:tblPr>
        <w:tblW w:w="935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6"/>
      </w:tblGrid>
      <w:tr w:rsidR="003414E8" w:rsidRPr="00930172" w14:paraId="1DB21BBB" w14:textId="77777777" w:rsidTr="0035745F">
        <w:trPr>
          <w:trHeight w:val="300"/>
          <w:tblCellSpacing w:w="20" w:type="dxa"/>
        </w:trPr>
        <w:tc>
          <w:tcPr>
            <w:tcW w:w="9276" w:type="dxa"/>
            <w:shd w:val="clear" w:color="auto" w:fill="861D31"/>
            <w:noWrap/>
            <w:vAlign w:val="center"/>
          </w:tcPr>
          <w:p w14:paraId="0C0B0456" w14:textId="76F371AC" w:rsidR="003414E8" w:rsidRPr="00930172" w:rsidRDefault="00E12CA5" w:rsidP="0093017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F2F2F2" w:themeColor="background1" w:themeShade="F2"/>
                <w:sz w:val="24"/>
                <w:szCs w:val="24"/>
                <w:lang w:eastAsia="es-MX"/>
              </w:rPr>
            </w:pPr>
            <w:r w:rsidRPr="00930172">
              <w:rPr>
                <w:rFonts w:asciiTheme="minorHAnsi" w:eastAsia="Times New Roman" w:hAnsiTheme="minorHAnsi"/>
                <w:b/>
                <w:bCs/>
                <w:color w:val="F2F2F2" w:themeColor="background1" w:themeShade="F2"/>
                <w:sz w:val="24"/>
                <w:szCs w:val="24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0FEF8DB4" w14:textId="77777777" w:rsidR="00D03957" w:rsidRPr="00D03957" w:rsidRDefault="00D03957" w:rsidP="00D03957">
      <w:pPr>
        <w:numPr>
          <w:ilvl w:val="0"/>
          <w:numId w:val="49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D03957">
        <w:rPr>
          <w:rFonts w:asciiTheme="minorHAnsi" w:hAnsiTheme="minorHAnsi"/>
          <w:sz w:val="24"/>
          <w:szCs w:val="24"/>
          <w:lang w:val="es-ES"/>
        </w:rPr>
        <w:t>Se cumplió con el objetivo establecido en los “Términos de Referencia para la Evaluación estratégica de diseño y orientación a resultados del Fondo de Aportaciones para la Seguridad Pública de los Estados y del Distrito Federal” (TdR), respecto de analizar y valorar el diseño y la orientación a resultados para la identificación de áreas de mejora y la generación de información que contribuya a su fortalecimiento, consolidación y mejora de su desempeño.</w:t>
      </w:r>
    </w:p>
    <w:p w14:paraId="6D512730" w14:textId="77777777" w:rsidR="00D03957" w:rsidRDefault="00D03957" w:rsidP="00D03957">
      <w:pPr>
        <w:numPr>
          <w:ilvl w:val="0"/>
          <w:numId w:val="49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D03957">
        <w:rPr>
          <w:rFonts w:asciiTheme="minorHAnsi" w:hAnsiTheme="minorHAnsi"/>
          <w:sz w:val="24"/>
          <w:szCs w:val="24"/>
          <w:lang w:val="es-ES"/>
        </w:rPr>
        <w:t>La evaluación se realizó mediante un ejercicio sistemático de acopio, valoración y análisis de la documentación más relevante sobre el Fondo, con el fin de contar con un diagnóstico sobre la capacidad institucional, organizacional y de gestión.</w:t>
      </w:r>
    </w:p>
    <w:p w14:paraId="5661CC51" w14:textId="77777777" w:rsidR="0024769D" w:rsidRDefault="0024769D" w:rsidP="0024769D">
      <w:pPr>
        <w:spacing w:line="240" w:lineRule="auto"/>
        <w:ind w:left="72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9CD620F" w14:textId="77777777" w:rsidR="002B45DE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3399540F" w14:textId="77777777" w:rsidR="00D03957" w:rsidRPr="0024769D" w:rsidRDefault="00D03957" w:rsidP="00D03957">
      <w:pPr>
        <w:numPr>
          <w:ilvl w:val="0"/>
          <w:numId w:val="49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24769D">
        <w:rPr>
          <w:rFonts w:asciiTheme="minorHAnsi" w:hAnsiTheme="minorHAnsi"/>
          <w:bCs/>
          <w:sz w:val="24"/>
          <w:szCs w:val="24"/>
          <w:lang w:val="es-ES"/>
        </w:rPr>
        <w:t xml:space="preserve">Con los resultados de esta evaluación, que derivaron del análisis y valoración de la operación del Fondo de Aportaciones para la Seguridad Pública de los Estados y del Distrito Federal (Fondo), se espera contribuir al fortalecimiento, consolidación y mejora de su desempeño, de modo que se permita orientar su gestión a la consecución de resultados de manera eficaz y eficiente. 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258F8DE7" w14:textId="2A6CE636" w:rsidR="00D03957" w:rsidRDefault="00D03957" w:rsidP="00D03957">
      <w:pPr>
        <w:pStyle w:val="Prrafodelista"/>
        <w:numPr>
          <w:ilvl w:val="0"/>
          <w:numId w:val="48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930172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930172">
        <w:rPr>
          <w:rFonts w:asciiTheme="minorHAnsi" w:hAnsiTheme="minorHAnsi"/>
          <w:bCs/>
          <w:sz w:val="24"/>
          <w:szCs w:val="24"/>
          <w:lang w:val="es-ES"/>
        </w:rPr>
        <w:t xml:space="preserve"> de los Programas Federales de la Administración Pública Federal y de los Fondos de Aportaciones Federales (PAE 201</w:t>
      </w:r>
      <w:r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930172">
        <w:rPr>
          <w:rFonts w:asciiTheme="minorHAnsi" w:hAnsiTheme="minorHAnsi"/>
          <w:bCs/>
          <w:sz w:val="24"/>
          <w:szCs w:val="24"/>
          <w:lang w:val="es-ES"/>
        </w:rPr>
        <w:t>) y los TdR emitidos para tal efecto, a través de reuniones de seguimiento, oficios, comunicación por medio de correo electrónico, entre otras, que favorecieron la comunicación y coordinación entre el Área de Evaluación (AE) y la Unidad Responsable; quienes en todo momento tuvieron la disposición para atender los requerimientos realizados por el evaluador externo para contar con la información necesaria para el desarrollo de la misma.</w:t>
      </w:r>
    </w:p>
    <w:p w14:paraId="16ABAC47" w14:textId="6264BB17" w:rsidR="003578C1" w:rsidRPr="00930172" w:rsidRDefault="003578C1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3.3 Sobre el desempeño del equipo evaluador</w:t>
      </w:r>
    </w:p>
    <w:p w14:paraId="485DAF69" w14:textId="77777777" w:rsidR="00D03957" w:rsidRPr="00930172" w:rsidRDefault="00D03957" w:rsidP="00D03957">
      <w:pPr>
        <w:pStyle w:val="Prrafodelista"/>
        <w:numPr>
          <w:ilvl w:val="0"/>
          <w:numId w:val="47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930172">
        <w:rPr>
          <w:rFonts w:asciiTheme="minorHAnsi" w:hAnsiTheme="minorHAnsi"/>
          <w:sz w:val="24"/>
          <w:szCs w:val="24"/>
          <w:lang w:val="es-ES"/>
        </w:rPr>
        <w:t>El evaluador externo muestra objetividad e imparcialidad en el desarrollo de la Evaluación, toda vez que se apegó a lo establecido en los TdR aplicables.</w:t>
      </w:r>
    </w:p>
    <w:sectPr w:rsidR="00D03957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1FB78" w14:textId="77777777" w:rsidR="006753C5" w:rsidRDefault="006753C5" w:rsidP="008E5209">
      <w:pPr>
        <w:spacing w:after="0" w:line="240" w:lineRule="auto"/>
      </w:pPr>
      <w:r>
        <w:separator/>
      </w:r>
    </w:p>
  </w:endnote>
  <w:endnote w:type="continuationSeparator" w:id="0">
    <w:p w14:paraId="6414879B" w14:textId="77777777" w:rsidR="006753C5" w:rsidRDefault="006753C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AD95" w14:textId="77777777" w:rsidR="006753C5" w:rsidRDefault="006753C5" w:rsidP="008E5209">
      <w:pPr>
        <w:spacing w:after="0" w:line="240" w:lineRule="auto"/>
      </w:pPr>
      <w:r>
        <w:separator/>
      </w:r>
    </w:p>
  </w:footnote>
  <w:footnote w:type="continuationSeparator" w:id="0">
    <w:p w14:paraId="4C8EB4D1" w14:textId="77777777" w:rsidR="006753C5" w:rsidRDefault="006753C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4E"/>
    <w:multiLevelType w:val="hybridMultilevel"/>
    <w:tmpl w:val="0A5A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13D"/>
    <w:multiLevelType w:val="hybridMultilevel"/>
    <w:tmpl w:val="6F08DE0C"/>
    <w:lvl w:ilvl="0" w:tplc="95960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55CD"/>
    <w:multiLevelType w:val="hybridMultilevel"/>
    <w:tmpl w:val="B0D20AEE"/>
    <w:lvl w:ilvl="0" w:tplc="49444308">
      <w:start w:val="7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4E9"/>
    <w:multiLevelType w:val="hybridMultilevel"/>
    <w:tmpl w:val="403816EA"/>
    <w:lvl w:ilvl="0" w:tplc="5AB0A7A0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6F10E83"/>
    <w:multiLevelType w:val="hybridMultilevel"/>
    <w:tmpl w:val="7012CD5A"/>
    <w:lvl w:ilvl="0" w:tplc="4BBE3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AE4A4C"/>
    <w:multiLevelType w:val="hybridMultilevel"/>
    <w:tmpl w:val="234EE7B2"/>
    <w:lvl w:ilvl="0" w:tplc="080A0019">
      <w:start w:val="1"/>
      <w:numFmt w:val="lowerLetter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8276C16"/>
    <w:multiLevelType w:val="hybridMultilevel"/>
    <w:tmpl w:val="C8F633FC"/>
    <w:lvl w:ilvl="0" w:tplc="AA8C33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8B6524C"/>
    <w:multiLevelType w:val="hybridMultilevel"/>
    <w:tmpl w:val="595E0158"/>
    <w:lvl w:ilvl="0" w:tplc="31947F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1F28D9"/>
    <w:multiLevelType w:val="hybridMultilevel"/>
    <w:tmpl w:val="8FF8A2E8"/>
    <w:lvl w:ilvl="0" w:tplc="84649956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00333"/>
    <w:multiLevelType w:val="multilevel"/>
    <w:tmpl w:val="2A06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1D13E4A"/>
    <w:multiLevelType w:val="hybridMultilevel"/>
    <w:tmpl w:val="D856DCE6"/>
    <w:lvl w:ilvl="0" w:tplc="A3CA052E">
      <w:start w:val="3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D3D8B"/>
    <w:multiLevelType w:val="hybridMultilevel"/>
    <w:tmpl w:val="7D1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715F1"/>
    <w:multiLevelType w:val="hybridMultilevel"/>
    <w:tmpl w:val="193C59BA"/>
    <w:lvl w:ilvl="0" w:tplc="2108BC4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279CA"/>
    <w:multiLevelType w:val="multilevel"/>
    <w:tmpl w:val="BC1A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A3F0F9F"/>
    <w:multiLevelType w:val="hybridMultilevel"/>
    <w:tmpl w:val="E5BA9486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0297BA0"/>
    <w:multiLevelType w:val="multilevel"/>
    <w:tmpl w:val="856C2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04F38E1"/>
    <w:multiLevelType w:val="hybridMultilevel"/>
    <w:tmpl w:val="4968A7C6"/>
    <w:lvl w:ilvl="0" w:tplc="14602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126B16"/>
    <w:multiLevelType w:val="hybridMultilevel"/>
    <w:tmpl w:val="457048BC"/>
    <w:lvl w:ilvl="0" w:tplc="6E9A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6C32B0"/>
    <w:multiLevelType w:val="hybridMultilevel"/>
    <w:tmpl w:val="8582623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5">
      <w:start w:val="1"/>
      <w:numFmt w:val="upp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29153BA"/>
    <w:multiLevelType w:val="hybridMultilevel"/>
    <w:tmpl w:val="9D041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91DE4"/>
    <w:multiLevelType w:val="hybridMultilevel"/>
    <w:tmpl w:val="F71483E0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6E56919"/>
    <w:multiLevelType w:val="hybridMultilevel"/>
    <w:tmpl w:val="6ACED8B4"/>
    <w:lvl w:ilvl="0" w:tplc="4C70BF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65860"/>
    <w:multiLevelType w:val="hybridMultilevel"/>
    <w:tmpl w:val="083A0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2C7CA7"/>
    <w:multiLevelType w:val="hybridMultilevel"/>
    <w:tmpl w:val="613A5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4E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6798F"/>
    <w:multiLevelType w:val="multilevel"/>
    <w:tmpl w:val="952E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6F226C9"/>
    <w:multiLevelType w:val="hybridMultilevel"/>
    <w:tmpl w:val="D08C4AD0"/>
    <w:lvl w:ilvl="0" w:tplc="BB7C25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3340B"/>
    <w:multiLevelType w:val="hybridMultilevel"/>
    <w:tmpl w:val="A5A422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6B33B3"/>
    <w:multiLevelType w:val="multilevel"/>
    <w:tmpl w:val="B18CF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435BC"/>
    <w:multiLevelType w:val="hybridMultilevel"/>
    <w:tmpl w:val="E2D0C828"/>
    <w:lvl w:ilvl="0" w:tplc="035AFE3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7A41B0"/>
    <w:multiLevelType w:val="hybridMultilevel"/>
    <w:tmpl w:val="744A9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98171D"/>
    <w:multiLevelType w:val="hybridMultilevel"/>
    <w:tmpl w:val="4DE26EE4"/>
    <w:lvl w:ilvl="0" w:tplc="ADA064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73403"/>
    <w:multiLevelType w:val="multilevel"/>
    <w:tmpl w:val="F72AA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0922C86"/>
    <w:multiLevelType w:val="hybridMultilevel"/>
    <w:tmpl w:val="B4B662B6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FC31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4DD783F"/>
    <w:multiLevelType w:val="hybridMultilevel"/>
    <w:tmpl w:val="0A4AF5C8"/>
    <w:lvl w:ilvl="0" w:tplc="69EA9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427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B2B4325"/>
    <w:multiLevelType w:val="hybridMultilevel"/>
    <w:tmpl w:val="2A7A0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6D57D1"/>
    <w:multiLevelType w:val="hybridMultilevel"/>
    <w:tmpl w:val="594063B8"/>
    <w:lvl w:ilvl="0" w:tplc="670EDC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D292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3A4B3F"/>
    <w:multiLevelType w:val="hybridMultilevel"/>
    <w:tmpl w:val="062E60CE"/>
    <w:lvl w:ilvl="0" w:tplc="54408794">
      <w:start w:val="6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2B4FC9"/>
    <w:multiLevelType w:val="hybridMultilevel"/>
    <w:tmpl w:val="193EA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162A2"/>
    <w:multiLevelType w:val="hybridMultilevel"/>
    <w:tmpl w:val="9BBE73A8"/>
    <w:lvl w:ilvl="0" w:tplc="199E1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C95F3D"/>
    <w:multiLevelType w:val="hybridMultilevel"/>
    <w:tmpl w:val="09FA3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9164E3"/>
    <w:multiLevelType w:val="hybridMultilevel"/>
    <w:tmpl w:val="3A66B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9215A"/>
    <w:multiLevelType w:val="hybridMultilevel"/>
    <w:tmpl w:val="A0D807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93327"/>
    <w:multiLevelType w:val="hybridMultilevel"/>
    <w:tmpl w:val="3CD042F8"/>
    <w:lvl w:ilvl="0" w:tplc="5A8296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04271"/>
    <w:multiLevelType w:val="multilevel"/>
    <w:tmpl w:val="502A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E891035"/>
    <w:multiLevelType w:val="hybridMultilevel"/>
    <w:tmpl w:val="84FEADF4"/>
    <w:lvl w:ilvl="0" w:tplc="7638A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7"/>
  </w:num>
  <w:num w:numId="5">
    <w:abstractNumId w:val="20"/>
  </w:num>
  <w:num w:numId="6">
    <w:abstractNumId w:val="4"/>
  </w:num>
  <w:num w:numId="7">
    <w:abstractNumId w:val="49"/>
  </w:num>
  <w:num w:numId="8">
    <w:abstractNumId w:val="38"/>
  </w:num>
  <w:num w:numId="9">
    <w:abstractNumId w:val="31"/>
  </w:num>
  <w:num w:numId="10">
    <w:abstractNumId w:val="21"/>
  </w:num>
  <w:num w:numId="11">
    <w:abstractNumId w:val="8"/>
  </w:num>
  <w:num w:numId="12">
    <w:abstractNumId w:val="14"/>
  </w:num>
  <w:num w:numId="13">
    <w:abstractNumId w:val="23"/>
  </w:num>
  <w:num w:numId="14">
    <w:abstractNumId w:val="40"/>
  </w:num>
  <w:num w:numId="15">
    <w:abstractNumId w:val="6"/>
  </w:num>
  <w:num w:numId="16">
    <w:abstractNumId w:val="1"/>
  </w:num>
  <w:num w:numId="17">
    <w:abstractNumId w:val="47"/>
  </w:num>
  <w:num w:numId="18">
    <w:abstractNumId w:val="42"/>
  </w:num>
  <w:num w:numId="19">
    <w:abstractNumId w:val="2"/>
  </w:num>
  <w:num w:numId="20">
    <w:abstractNumId w:val="29"/>
  </w:num>
  <w:num w:numId="21">
    <w:abstractNumId w:val="10"/>
  </w:num>
  <w:num w:numId="22">
    <w:abstractNumId w:val="17"/>
  </w:num>
  <w:num w:numId="23">
    <w:abstractNumId w:val="0"/>
  </w:num>
  <w:num w:numId="24">
    <w:abstractNumId w:val="34"/>
  </w:num>
  <w:num w:numId="25">
    <w:abstractNumId w:val="39"/>
  </w:num>
  <w:num w:numId="26">
    <w:abstractNumId w:val="3"/>
  </w:num>
  <w:num w:numId="27">
    <w:abstractNumId w:val="12"/>
  </w:num>
  <w:num w:numId="28">
    <w:abstractNumId w:val="36"/>
  </w:num>
  <w:num w:numId="29">
    <w:abstractNumId w:val="27"/>
  </w:num>
  <w:num w:numId="30">
    <w:abstractNumId w:val="48"/>
  </w:num>
  <w:num w:numId="31">
    <w:abstractNumId w:val="9"/>
  </w:num>
  <w:num w:numId="32">
    <w:abstractNumId w:val="13"/>
  </w:num>
  <w:num w:numId="33">
    <w:abstractNumId w:val="24"/>
  </w:num>
  <w:num w:numId="34">
    <w:abstractNumId w:val="15"/>
  </w:num>
  <w:num w:numId="35">
    <w:abstractNumId w:val="32"/>
  </w:num>
  <w:num w:numId="36">
    <w:abstractNumId w:val="19"/>
  </w:num>
  <w:num w:numId="37">
    <w:abstractNumId w:val="41"/>
  </w:num>
  <w:num w:numId="38">
    <w:abstractNumId w:val="37"/>
  </w:num>
  <w:num w:numId="39">
    <w:abstractNumId w:val="44"/>
  </w:num>
  <w:num w:numId="40">
    <w:abstractNumId w:val="11"/>
  </w:num>
  <w:num w:numId="41">
    <w:abstractNumId w:val="26"/>
  </w:num>
  <w:num w:numId="42">
    <w:abstractNumId w:val="35"/>
  </w:num>
  <w:num w:numId="43">
    <w:abstractNumId w:val="25"/>
  </w:num>
  <w:num w:numId="44">
    <w:abstractNumId w:val="46"/>
  </w:num>
  <w:num w:numId="45">
    <w:abstractNumId w:val="33"/>
  </w:num>
  <w:num w:numId="46">
    <w:abstractNumId w:val="5"/>
  </w:num>
  <w:num w:numId="47">
    <w:abstractNumId w:val="45"/>
  </w:num>
  <w:num w:numId="48">
    <w:abstractNumId w:val="28"/>
  </w:num>
  <w:num w:numId="49">
    <w:abstractNumId w:val="43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2DCA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95E27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6638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3D0F"/>
    <w:rsid w:val="002356D5"/>
    <w:rsid w:val="0023762C"/>
    <w:rsid w:val="002422A9"/>
    <w:rsid w:val="0024769D"/>
    <w:rsid w:val="00256B08"/>
    <w:rsid w:val="00263C83"/>
    <w:rsid w:val="00264327"/>
    <w:rsid w:val="0026692D"/>
    <w:rsid w:val="002801B9"/>
    <w:rsid w:val="00281DFC"/>
    <w:rsid w:val="002903FB"/>
    <w:rsid w:val="00296056"/>
    <w:rsid w:val="002A29EE"/>
    <w:rsid w:val="002A318E"/>
    <w:rsid w:val="002B2C96"/>
    <w:rsid w:val="002B45DE"/>
    <w:rsid w:val="002C0D33"/>
    <w:rsid w:val="002D1AFC"/>
    <w:rsid w:val="002D3EA7"/>
    <w:rsid w:val="002D457E"/>
    <w:rsid w:val="002D63B7"/>
    <w:rsid w:val="002E1A84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45F"/>
    <w:rsid w:val="003578C1"/>
    <w:rsid w:val="003671EF"/>
    <w:rsid w:val="00375FD1"/>
    <w:rsid w:val="003800F3"/>
    <w:rsid w:val="003867E1"/>
    <w:rsid w:val="003954C6"/>
    <w:rsid w:val="003964B5"/>
    <w:rsid w:val="003A71C0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338DA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47E6"/>
    <w:rsid w:val="005E44FA"/>
    <w:rsid w:val="005F33CC"/>
    <w:rsid w:val="005F575E"/>
    <w:rsid w:val="00601986"/>
    <w:rsid w:val="00602B50"/>
    <w:rsid w:val="00603771"/>
    <w:rsid w:val="006123C0"/>
    <w:rsid w:val="00614DBD"/>
    <w:rsid w:val="0062578D"/>
    <w:rsid w:val="00630891"/>
    <w:rsid w:val="0065144E"/>
    <w:rsid w:val="0065719B"/>
    <w:rsid w:val="00666BE5"/>
    <w:rsid w:val="00671A91"/>
    <w:rsid w:val="006753C5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C741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0FFD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A520E"/>
    <w:rsid w:val="00AB3DF6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5FF6"/>
    <w:rsid w:val="00BF698D"/>
    <w:rsid w:val="00C04B92"/>
    <w:rsid w:val="00C10020"/>
    <w:rsid w:val="00C103A7"/>
    <w:rsid w:val="00C17070"/>
    <w:rsid w:val="00C17101"/>
    <w:rsid w:val="00C2107C"/>
    <w:rsid w:val="00C30726"/>
    <w:rsid w:val="00C4579A"/>
    <w:rsid w:val="00C54827"/>
    <w:rsid w:val="00C549F2"/>
    <w:rsid w:val="00C66011"/>
    <w:rsid w:val="00C66B84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3957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084E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1DCE"/>
    <w:rsid w:val="00F8367D"/>
    <w:rsid w:val="00F963E2"/>
    <w:rsid w:val="00FA1BB9"/>
    <w:rsid w:val="00FA7D41"/>
    <w:rsid w:val="00FB0820"/>
    <w:rsid w:val="00FB1BFB"/>
    <w:rsid w:val="00FB1F72"/>
    <w:rsid w:val="00FB204C"/>
    <w:rsid w:val="00FB4127"/>
    <w:rsid w:val="00FC30E6"/>
    <w:rsid w:val="00FD5B23"/>
    <w:rsid w:val="00FE44F0"/>
    <w:rsid w:val="00FF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57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57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6A05-62E4-4457-B330-5629EB1C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1376</Words>
  <Characters>7569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CLSinaloa</cp:lastModifiedBy>
  <cp:revision>10</cp:revision>
  <cp:lastPrinted>2019-10-11T00:40:00Z</cp:lastPrinted>
  <dcterms:created xsi:type="dcterms:W3CDTF">2020-05-27T20:10:00Z</dcterms:created>
  <dcterms:modified xsi:type="dcterms:W3CDTF">2021-01-18T21:49:00Z</dcterms:modified>
</cp:coreProperties>
</file>