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6242"/>
      </w:tblGrid>
      <w:tr w:rsidR="00091285" w:rsidRPr="00E1388F" w14:paraId="31D6CD3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2BF73D12" w:rsidR="00091285" w:rsidRPr="00AA45DE" w:rsidRDefault="0041069B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1069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Fondo de Aportaciones Múltiples (FAM) en sus niveles Básica, Media Superior y Superior</w:t>
            </w:r>
          </w:p>
        </w:tc>
      </w:tr>
      <w:tr w:rsidR="00091285" w:rsidRPr="00C50275" w14:paraId="6F6202EB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C50275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C5027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3D568E21" w:rsidR="00091285" w:rsidRPr="00C50275" w:rsidRDefault="0041069B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C5027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Instituto Sinaloense de Infraestructura Física Educativa</w:t>
            </w:r>
            <w:r w:rsidR="001767E8" w:rsidRPr="00C5027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(ISIFE)</w:t>
            </w:r>
          </w:p>
        </w:tc>
      </w:tr>
      <w:tr w:rsidR="002E2401" w:rsidRPr="00C50275" w14:paraId="180EC860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C50275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C5027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3C97558A" w:rsidR="002E2401" w:rsidRPr="00C50275" w:rsidRDefault="0041069B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C5027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Instituto Sinaloense de Infraestructura Física Educativa</w:t>
            </w:r>
            <w:r w:rsidR="001767E8" w:rsidRPr="00C5027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(ISIFE)</w:t>
            </w:r>
          </w:p>
        </w:tc>
      </w:tr>
      <w:tr w:rsidR="002E2401" w:rsidRPr="00E1388F" w14:paraId="08D1358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57A582C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201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9</w:t>
            </w:r>
          </w:p>
        </w:tc>
      </w:tr>
      <w:tr w:rsidR="002E2401" w:rsidRPr="00E1388F" w14:paraId="0F5B205E" w14:textId="77777777" w:rsidTr="002E2401">
        <w:trPr>
          <w:trHeight w:val="300"/>
          <w:tblCellSpacing w:w="20" w:type="dxa"/>
        </w:trPr>
        <w:tc>
          <w:tcPr>
            <w:tcW w:w="9306" w:type="dxa"/>
            <w:gridSpan w:val="2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77492E1D" w14:textId="57D50EE8" w:rsidR="00AA45DE" w:rsidRDefault="00AA45DE" w:rsidP="00F77312">
      <w:pPr>
        <w:spacing w:after="0"/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253"/>
        <w:gridCol w:w="2693"/>
        <w:gridCol w:w="2443"/>
      </w:tblGrid>
      <w:tr w:rsidR="00293605" w:rsidRPr="00F77312" w14:paraId="58322C92" w14:textId="77777777" w:rsidTr="009263AE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253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693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930172" w14:paraId="4D3C4EB2" w14:textId="77777777" w:rsidTr="00F92BAE">
        <w:tc>
          <w:tcPr>
            <w:tcW w:w="1995" w:type="dxa"/>
          </w:tcPr>
          <w:p w14:paraId="17E4B42F" w14:textId="4F717DAE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253" w:type="dxa"/>
          </w:tcPr>
          <w:p w14:paraId="3FD0CD4F" w14:textId="65DC3401" w:rsidR="00293605" w:rsidRPr="00771385" w:rsidRDefault="0041069B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bookmarkStart w:id="0" w:name="OLE_LINK1"/>
            <w:r w:rsidRPr="0041069B">
              <w:rPr>
                <w:rFonts w:asciiTheme="minorHAnsi" w:hAnsiTheme="minorHAnsi"/>
                <w:iCs/>
              </w:rPr>
              <w:t>Tener un adecuado proceso de monitoreo y seguimiento de los apoyos otorgados y del cumplimiento de condiciones establecidas.</w:t>
            </w:r>
            <w:bookmarkEnd w:id="0"/>
          </w:p>
        </w:tc>
        <w:tc>
          <w:tcPr>
            <w:tcW w:w="2693" w:type="dxa"/>
            <w:shd w:val="clear" w:color="auto" w:fill="auto"/>
          </w:tcPr>
          <w:p w14:paraId="3BE12C11" w14:textId="54643F2A" w:rsidR="00293605" w:rsidRPr="00C50275" w:rsidRDefault="00293605" w:rsidP="008968AC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C50275">
              <w:rPr>
                <w:rFonts w:asciiTheme="minorHAnsi" w:hAnsiTheme="minorHAnsi"/>
                <w:iCs/>
              </w:rPr>
              <w:t xml:space="preserve">Es factible, se tiene planeado elaborar un </w:t>
            </w:r>
            <w:r w:rsidR="0028599A" w:rsidRPr="00C50275">
              <w:rPr>
                <w:rFonts w:asciiTheme="minorHAnsi" w:hAnsiTheme="minorHAnsi"/>
                <w:iCs/>
              </w:rPr>
              <w:t>diagnóstico</w:t>
            </w:r>
            <w:r w:rsidR="008968AC" w:rsidRPr="00C50275">
              <w:rPr>
                <w:rFonts w:asciiTheme="minorHAnsi" w:hAnsiTheme="minorHAnsi"/>
                <w:iCs/>
              </w:rPr>
              <w:t xml:space="preserve"> a los procesos de monitoreo y seguimiento.</w:t>
            </w:r>
          </w:p>
        </w:tc>
        <w:tc>
          <w:tcPr>
            <w:tcW w:w="2443" w:type="dxa"/>
            <w:shd w:val="clear" w:color="auto" w:fill="auto"/>
          </w:tcPr>
          <w:p w14:paraId="48645C78" w14:textId="2F624099" w:rsidR="00293605" w:rsidRPr="00C50275" w:rsidRDefault="0077138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C50275">
              <w:rPr>
                <w:rFonts w:asciiTheme="minorHAnsi" w:hAnsiTheme="minorHAnsi"/>
                <w:iCs/>
              </w:rPr>
              <w:t>Llevar a cabo el diagn</w:t>
            </w:r>
            <w:r w:rsidR="0028599A" w:rsidRPr="00C50275">
              <w:rPr>
                <w:rFonts w:asciiTheme="minorHAnsi" w:hAnsiTheme="minorHAnsi"/>
                <w:iCs/>
              </w:rPr>
              <w:t>ó</w:t>
            </w:r>
            <w:r w:rsidRPr="00C50275">
              <w:rPr>
                <w:rFonts w:asciiTheme="minorHAnsi" w:hAnsiTheme="minorHAnsi"/>
                <w:iCs/>
              </w:rPr>
              <w:t>stico, el cual concluirá en diciembre de 20</w:t>
            </w:r>
            <w:r w:rsidR="009263AE" w:rsidRPr="00C50275">
              <w:rPr>
                <w:rFonts w:asciiTheme="minorHAnsi" w:hAnsiTheme="minorHAnsi"/>
                <w:iCs/>
              </w:rPr>
              <w:t>20</w:t>
            </w:r>
            <w:r w:rsidRPr="00C50275">
              <w:rPr>
                <w:rFonts w:asciiTheme="minorHAnsi" w:hAnsiTheme="minorHAnsi"/>
                <w:iCs/>
              </w:rPr>
              <w:t>.</w:t>
            </w:r>
          </w:p>
        </w:tc>
      </w:tr>
      <w:tr w:rsidR="00771385" w:rsidRPr="00930172" w14:paraId="4F6E4BA1" w14:textId="77777777" w:rsidTr="00F92BAE">
        <w:tc>
          <w:tcPr>
            <w:tcW w:w="1995" w:type="dxa"/>
          </w:tcPr>
          <w:p w14:paraId="1DA3DA1C" w14:textId="075F28FF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253" w:type="dxa"/>
          </w:tcPr>
          <w:p w14:paraId="50ABFA03" w14:textId="168379CA" w:rsidR="00771385" w:rsidRPr="0041069B" w:rsidRDefault="0041069B" w:rsidP="0077138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bookmarkStart w:id="1" w:name="OLE_LINK2"/>
            <w:r w:rsidRPr="0041069B">
              <w:rPr>
                <w:rFonts w:asciiTheme="minorHAnsi" w:hAnsiTheme="minorHAnsi"/>
                <w:iCs/>
              </w:rPr>
              <w:t>Mantener o aplicar un adecuado flujo de procesos operativos adecuados, considerando articulación, continuidad y eficiencia.</w:t>
            </w:r>
            <w:bookmarkEnd w:id="1"/>
          </w:p>
        </w:tc>
        <w:tc>
          <w:tcPr>
            <w:tcW w:w="2693" w:type="dxa"/>
            <w:shd w:val="clear" w:color="auto" w:fill="auto"/>
          </w:tcPr>
          <w:p w14:paraId="04CB3EDC" w14:textId="3EDD8D34" w:rsidR="008968AC" w:rsidRPr="00C50275" w:rsidRDefault="00771385" w:rsidP="008968A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</w:rPr>
              <w:t>Es facti</w:t>
            </w:r>
            <w:r w:rsidR="008968AC" w:rsidRPr="00C50275">
              <w:rPr>
                <w:rFonts w:asciiTheme="minorHAnsi" w:hAnsiTheme="minorHAnsi"/>
              </w:rPr>
              <w:t>ble, se tiene planeado elaborar un diagnóstico para verificar</w:t>
            </w:r>
            <w:r w:rsidR="00501BF9" w:rsidRPr="00C50275">
              <w:rPr>
                <w:rFonts w:asciiTheme="minorHAnsi" w:hAnsiTheme="minorHAnsi"/>
              </w:rPr>
              <w:t xml:space="preserve"> el </w:t>
            </w:r>
            <w:r w:rsidR="008968AC" w:rsidRPr="00C50275">
              <w:rPr>
                <w:rFonts w:asciiTheme="minorHAnsi" w:hAnsiTheme="minorHAnsi"/>
              </w:rPr>
              <w:t xml:space="preserve">flujo de </w:t>
            </w:r>
            <w:r w:rsidR="00501BF9" w:rsidRPr="00C50275">
              <w:rPr>
                <w:rFonts w:asciiTheme="minorHAnsi" w:hAnsiTheme="minorHAnsi"/>
              </w:rPr>
              <w:t xml:space="preserve">los </w:t>
            </w:r>
            <w:r w:rsidR="008968AC" w:rsidRPr="00C50275">
              <w:rPr>
                <w:rFonts w:asciiTheme="minorHAnsi" w:hAnsiTheme="minorHAnsi"/>
              </w:rPr>
              <w:t>procesos operativos.</w:t>
            </w:r>
          </w:p>
          <w:p w14:paraId="31F316AD" w14:textId="0D4E692F" w:rsidR="00771385" w:rsidRPr="00C5027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43" w:type="dxa"/>
            <w:shd w:val="clear" w:color="auto" w:fill="auto"/>
          </w:tcPr>
          <w:p w14:paraId="55B9AEA8" w14:textId="5620FB1A" w:rsidR="00771385" w:rsidRPr="00C50275" w:rsidRDefault="008968AC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  <w:iCs/>
              </w:rPr>
              <w:t>Llevar a cabo el diagnóstico, el cual concluirá en diciembre de 2020.</w:t>
            </w:r>
          </w:p>
        </w:tc>
      </w:tr>
      <w:tr w:rsidR="00771385" w:rsidRPr="00930172" w14:paraId="60F77572" w14:textId="77777777" w:rsidTr="00F92BAE">
        <w:tc>
          <w:tcPr>
            <w:tcW w:w="1995" w:type="dxa"/>
          </w:tcPr>
          <w:p w14:paraId="55584F35" w14:textId="2C272B67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3</w:t>
            </w:r>
          </w:p>
        </w:tc>
        <w:tc>
          <w:tcPr>
            <w:tcW w:w="2253" w:type="dxa"/>
          </w:tcPr>
          <w:p w14:paraId="40617A0B" w14:textId="547EE1ED" w:rsidR="00771385" w:rsidRPr="0041069B" w:rsidRDefault="00501BF9" w:rsidP="00A61A4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bookmarkStart w:id="2" w:name="OLE_LINK3"/>
            <w:r w:rsidRPr="0041069B">
              <w:rPr>
                <w:rFonts w:asciiTheme="minorHAnsi" w:hAnsiTheme="minorHAnsi"/>
                <w:iCs/>
              </w:rPr>
              <w:t>Diseñar indicadores propios que sirvan como base ante propuestas de modificación.</w:t>
            </w:r>
            <w:bookmarkEnd w:id="2"/>
          </w:p>
        </w:tc>
        <w:tc>
          <w:tcPr>
            <w:tcW w:w="2693" w:type="dxa"/>
            <w:shd w:val="clear" w:color="auto" w:fill="auto"/>
          </w:tcPr>
          <w:p w14:paraId="37E3776D" w14:textId="3AC49298" w:rsidR="00771385" w:rsidRPr="00C50275" w:rsidRDefault="00771385" w:rsidP="001767E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</w:rPr>
              <w:t xml:space="preserve">Es factible, </w:t>
            </w:r>
            <w:r w:rsidR="001767E8" w:rsidRPr="00C50275">
              <w:rPr>
                <w:rFonts w:asciiTheme="minorHAnsi" w:hAnsiTheme="minorHAnsi"/>
              </w:rPr>
              <w:t>se tiene planeado</w:t>
            </w:r>
            <w:r w:rsidR="008968AC" w:rsidRPr="00C50275">
              <w:rPr>
                <w:rFonts w:asciiTheme="minorHAnsi" w:hAnsiTheme="minorHAnsi"/>
              </w:rPr>
              <w:t xml:space="preserve"> </w:t>
            </w:r>
            <w:r w:rsidR="00501BF9" w:rsidRPr="00C50275">
              <w:rPr>
                <w:rFonts w:asciiTheme="minorHAnsi" w:hAnsiTheme="minorHAnsi"/>
              </w:rPr>
              <w:t xml:space="preserve">diseñar y </w:t>
            </w:r>
            <w:r w:rsidR="008968AC" w:rsidRPr="00C50275">
              <w:rPr>
                <w:rFonts w:asciiTheme="minorHAnsi" w:hAnsiTheme="minorHAnsi"/>
              </w:rPr>
              <w:t>elaborar indicadores</w:t>
            </w:r>
            <w:r w:rsidR="00501BF9" w:rsidRPr="00C50275">
              <w:rPr>
                <w:rFonts w:asciiTheme="minorHAnsi" w:hAnsiTheme="minorHAnsi"/>
              </w:rPr>
              <w:t xml:space="preserve"> propios del ISIFE</w:t>
            </w:r>
            <w:r w:rsidR="008968AC" w:rsidRPr="00C50275">
              <w:rPr>
                <w:rFonts w:asciiTheme="minorHAnsi" w:hAnsiTheme="minorHAnsi"/>
              </w:rPr>
              <w:t>.</w:t>
            </w:r>
          </w:p>
        </w:tc>
        <w:tc>
          <w:tcPr>
            <w:tcW w:w="2443" w:type="dxa"/>
            <w:shd w:val="clear" w:color="auto" w:fill="auto"/>
          </w:tcPr>
          <w:p w14:paraId="2C695BE7" w14:textId="61B6ED16" w:rsidR="00771385" w:rsidRPr="00C50275" w:rsidRDefault="009263AE" w:rsidP="008968A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</w:rPr>
              <w:t xml:space="preserve">Llevar a cabo </w:t>
            </w:r>
            <w:r w:rsidR="008968AC" w:rsidRPr="00C50275">
              <w:rPr>
                <w:rFonts w:asciiTheme="minorHAnsi" w:hAnsiTheme="minorHAnsi"/>
              </w:rPr>
              <w:t>la elaboración y el diseño de los indicadores, la cual concluirá en diciembre 2020.</w:t>
            </w:r>
          </w:p>
        </w:tc>
      </w:tr>
      <w:tr w:rsidR="0041069B" w:rsidRPr="00930172" w14:paraId="32ECF058" w14:textId="77777777" w:rsidTr="00F92BAE">
        <w:tc>
          <w:tcPr>
            <w:tcW w:w="1995" w:type="dxa"/>
          </w:tcPr>
          <w:p w14:paraId="65E9076F" w14:textId="0C3B38CA" w:rsidR="0041069B" w:rsidRPr="00771385" w:rsidRDefault="0041069B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/ Recomendaciones / 4</w:t>
            </w:r>
          </w:p>
        </w:tc>
        <w:tc>
          <w:tcPr>
            <w:tcW w:w="2253" w:type="dxa"/>
          </w:tcPr>
          <w:p w14:paraId="37CF2AFB" w14:textId="2765DC8E" w:rsidR="0041069B" w:rsidRPr="00771385" w:rsidRDefault="0041069B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bookmarkStart w:id="3" w:name="OLE_LINK4"/>
            <w:r w:rsidRPr="0041069B">
              <w:rPr>
                <w:rFonts w:asciiTheme="minorHAnsi" w:hAnsiTheme="minorHAnsi"/>
              </w:rPr>
              <w:t>Replantear las metas planteadas en la MIR debido al bajo nivel de cumplimiento que presentan.</w:t>
            </w:r>
            <w:bookmarkEnd w:id="3"/>
          </w:p>
        </w:tc>
        <w:tc>
          <w:tcPr>
            <w:tcW w:w="2693" w:type="dxa"/>
            <w:shd w:val="clear" w:color="auto" w:fill="auto"/>
          </w:tcPr>
          <w:p w14:paraId="21B0AA1D" w14:textId="17C3D819" w:rsidR="0041069B" w:rsidRPr="00C50275" w:rsidRDefault="00BA0E7C" w:rsidP="00BA0E7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</w:rPr>
              <w:t>Es factible, se tiene planeado</w:t>
            </w:r>
            <w:r w:rsidR="00501BF9" w:rsidRPr="00C50275">
              <w:rPr>
                <w:rFonts w:asciiTheme="minorHAnsi" w:hAnsiTheme="minorHAnsi"/>
              </w:rPr>
              <w:t xml:space="preserve"> </w:t>
            </w:r>
            <w:r w:rsidRPr="00C50275">
              <w:rPr>
                <w:rFonts w:asciiTheme="minorHAnsi" w:hAnsiTheme="minorHAnsi"/>
              </w:rPr>
              <w:t>replantear las metas</w:t>
            </w:r>
            <w:r w:rsidR="00501BF9" w:rsidRPr="00C50275">
              <w:rPr>
                <w:rFonts w:asciiTheme="minorHAnsi" w:hAnsiTheme="minorHAnsi"/>
              </w:rPr>
              <w:t xml:space="preserve"> en la MIR</w:t>
            </w:r>
            <w:r w:rsidRPr="00C50275">
              <w:rPr>
                <w:rFonts w:asciiTheme="minorHAnsi" w:hAnsiTheme="minorHAnsi"/>
              </w:rPr>
              <w:t>.</w:t>
            </w:r>
          </w:p>
        </w:tc>
        <w:tc>
          <w:tcPr>
            <w:tcW w:w="2443" w:type="dxa"/>
            <w:shd w:val="clear" w:color="auto" w:fill="auto"/>
          </w:tcPr>
          <w:p w14:paraId="117AE697" w14:textId="66B0E802" w:rsidR="0041069B" w:rsidRPr="00C50275" w:rsidRDefault="00BA0E7C" w:rsidP="00BA0E7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  <w:iCs/>
              </w:rPr>
              <w:t>Llevar a cabo el estudio, el cual concluirá en diciembre de 2020.</w:t>
            </w:r>
          </w:p>
        </w:tc>
      </w:tr>
    </w:tbl>
    <w:p w14:paraId="6DD4C07A" w14:textId="77777777" w:rsidR="003E120A" w:rsidRDefault="003E120A"/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253"/>
        <w:gridCol w:w="2693"/>
        <w:gridCol w:w="2443"/>
      </w:tblGrid>
      <w:tr w:rsidR="003E120A" w:rsidRPr="00930172" w14:paraId="28EBB8D0" w14:textId="77777777" w:rsidTr="003E120A">
        <w:tc>
          <w:tcPr>
            <w:tcW w:w="1995" w:type="dxa"/>
            <w:shd w:val="clear" w:color="auto" w:fill="861828"/>
            <w:vAlign w:val="center"/>
          </w:tcPr>
          <w:p w14:paraId="2A0F048E" w14:textId="37CF008A" w:rsidR="003E120A" w:rsidRPr="00771385" w:rsidRDefault="003E120A" w:rsidP="003E120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253" w:type="dxa"/>
            <w:shd w:val="clear" w:color="auto" w:fill="861828"/>
            <w:vAlign w:val="center"/>
          </w:tcPr>
          <w:p w14:paraId="1D2E876A" w14:textId="1B548DE5" w:rsidR="003E120A" w:rsidRPr="0041069B" w:rsidRDefault="003E120A" w:rsidP="003E120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693" w:type="dxa"/>
            <w:shd w:val="clear" w:color="auto" w:fill="861828"/>
            <w:vAlign w:val="center"/>
          </w:tcPr>
          <w:p w14:paraId="1D0DC075" w14:textId="15D4514D" w:rsidR="003E120A" w:rsidRPr="00C50275" w:rsidRDefault="003E120A" w:rsidP="003E120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828"/>
            <w:vAlign w:val="center"/>
          </w:tcPr>
          <w:p w14:paraId="339CFEE7" w14:textId="0D3FB8EA" w:rsidR="003E120A" w:rsidRPr="00C50275" w:rsidRDefault="003E120A" w:rsidP="003E120A">
            <w:pPr>
              <w:spacing w:after="0" w:line="240" w:lineRule="auto"/>
              <w:jc w:val="center"/>
              <w:rPr>
                <w:rFonts w:asciiTheme="minorHAnsi" w:hAnsiTheme="minorHAnsi"/>
                <w:iCs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3E120A" w:rsidRPr="00930172" w14:paraId="4A20AD15" w14:textId="77777777" w:rsidTr="00F92BAE">
        <w:tc>
          <w:tcPr>
            <w:tcW w:w="1995" w:type="dxa"/>
          </w:tcPr>
          <w:p w14:paraId="4658C933" w14:textId="36D68CEB" w:rsidR="003E120A" w:rsidRPr="0077138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 xml:space="preserve">Informe / Recomendaciones /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253" w:type="dxa"/>
          </w:tcPr>
          <w:p w14:paraId="572B8F6E" w14:textId="68579A0F" w:rsidR="003E120A" w:rsidRPr="0077138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bookmarkStart w:id="4" w:name="OLE_LINK5"/>
            <w:r w:rsidRPr="0041069B">
              <w:rPr>
                <w:rFonts w:asciiTheme="minorHAnsi" w:hAnsiTheme="minorHAnsi"/>
              </w:rPr>
              <w:t>Realizar un estudio específico de impacto a beneficiarios directos e indirectos de la ejecución de recursos de FAM.</w:t>
            </w:r>
            <w:bookmarkEnd w:id="4"/>
          </w:p>
        </w:tc>
        <w:tc>
          <w:tcPr>
            <w:tcW w:w="2693" w:type="dxa"/>
            <w:shd w:val="clear" w:color="auto" w:fill="auto"/>
          </w:tcPr>
          <w:p w14:paraId="2CAF8028" w14:textId="2A419375" w:rsidR="003E120A" w:rsidRPr="00C5027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</w:rPr>
              <w:t>Es factible, se tiene planeado elaborar un estudio específico de impacto a beneficiarios directos e indirectos.</w:t>
            </w:r>
          </w:p>
          <w:p w14:paraId="3D2A4A00" w14:textId="77777777" w:rsidR="003E120A" w:rsidRPr="00C5027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43" w:type="dxa"/>
            <w:shd w:val="clear" w:color="auto" w:fill="auto"/>
          </w:tcPr>
          <w:p w14:paraId="1A65B014" w14:textId="2C9E9C82" w:rsidR="003E120A" w:rsidRPr="00C5027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  <w:iCs/>
              </w:rPr>
              <w:t>Llevar a cabo el estudio de impacto, el cual concluirá en diciembre de 2020.</w:t>
            </w:r>
          </w:p>
        </w:tc>
      </w:tr>
      <w:tr w:rsidR="003E120A" w:rsidRPr="00930172" w14:paraId="6FD4D50E" w14:textId="77777777" w:rsidTr="00F92BAE">
        <w:tc>
          <w:tcPr>
            <w:tcW w:w="1995" w:type="dxa"/>
          </w:tcPr>
          <w:p w14:paraId="575A37FE" w14:textId="529AE84F" w:rsidR="003E120A" w:rsidRPr="0077138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/ Recomendaciones / 6</w:t>
            </w:r>
          </w:p>
        </w:tc>
        <w:tc>
          <w:tcPr>
            <w:tcW w:w="2253" w:type="dxa"/>
          </w:tcPr>
          <w:p w14:paraId="3B22E21E" w14:textId="372CAE08" w:rsidR="003E120A" w:rsidRPr="0077138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bookmarkStart w:id="5" w:name="OLE_LINK6"/>
            <w:r w:rsidRPr="0041069B">
              <w:rPr>
                <w:rFonts w:asciiTheme="minorHAnsi" w:hAnsiTheme="minorHAnsi"/>
              </w:rPr>
              <w:t>Implementar un mecanismo que permita conocer la satisfacción de los beneficiarios del fondo y considerar los resultados obtenidos para la toma de decisiones y las estrategias para la mejora continua.</w:t>
            </w:r>
            <w:bookmarkEnd w:id="5"/>
          </w:p>
        </w:tc>
        <w:tc>
          <w:tcPr>
            <w:tcW w:w="2693" w:type="dxa"/>
            <w:shd w:val="clear" w:color="auto" w:fill="auto"/>
          </w:tcPr>
          <w:p w14:paraId="108600A7" w14:textId="5E403FDB" w:rsidR="003E120A" w:rsidRPr="00C5027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</w:rPr>
              <w:t>Es factible, se tiene planeado elaborar un estudio derivado de encuestas a los beneficiaros del fondo.</w:t>
            </w:r>
          </w:p>
          <w:p w14:paraId="44496061" w14:textId="77777777" w:rsidR="003E120A" w:rsidRPr="00C5027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43" w:type="dxa"/>
            <w:shd w:val="clear" w:color="auto" w:fill="auto"/>
          </w:tcPr>
          <w:p w14:paraId="4E034E04" w14:textId="6A5F95A3" w:rsidR="003E120A" w:rsidRPr="00C5027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  <w:iCs/>
              </w:rPr>
              <w:t>Llevar a cabo el estudio y las encuestas, el cual concluirá en diciembre de 2020.</w:t>
            </w:r>
          </w:p>
        </w:tc>
      </w:tr>
      <w:tr w:rsidR="003E120A" w:rsidRPr="00930172" w14:paraId="2924A3C0" w14:textId="77777777" w:rsidTr="00F92BAE">
        <w:tc>
          <w:tcPr>
            <w:tcW w:w="1995" w:type="dxa"/>
          </w:tcPr>
          <w:p w14:paraId="6F2ABBF3" w14:textId="07D27789" w:rsidR="003E120A" w:rsidRPr="0077138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/ Recomendaciones / 7</w:t>
            </w:r>
          </w:p>
        </w:tc>
        <w:tc>
          <w:tcPr>
            <w:tcW w:w="2253" w:type="dxa"/>
          </w:tcPr>
          <w:p w14:paraId="55795030" w14:textId="57B4339B" w:rsidR="003E120A" w:rsidRPr="0077138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bookmarkStart w:id="6" w:name="OLE_LINK7"/>
            <w:bookmarkStart w:id="7" w:name="_GoBack"/>
            <w:r w:rsidRPr="0041069B">
              <w:rPr>
                <w:rFonts w:asciiTheme="minorHAnsi" w:hAnsiTheme="minorHAnsi"/>
              </w:rPr>
              <w:t>Elaborar un Catálogo de servicios de infraestructura educativa así como generar información especifica asociada a la situación actual de la infraestructura educativa en el Estado.</w:t>
            </w:r>
            <w:bookmarkEnd w:id="6"/>
            <w:bookmarkEnd w:id="7"/>
          </w:p>
        </w:tc>
        <w:tc>
          <w:tcPr>
            <w:tcW w:w="2693" w:type="dxa"/>
            <w:shd w:val="clear" w:color="auto" w:fill="auto"/>
          </w:tcPr>
          <w:p w14:paraId="2A062578" w14:textId="22AE195E" w:rsidR="003E120A" w:rsidRPr="00C5027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</w:rPr>
              <w:t>Es factible, se tiene planeado elaborar un catálogo de servicios de infraestructura, así mismo un estudio para generar información de la situación actual de la infraestructura.</w:t>
            </w:r>
          </w:p>
        </w:tc>
        <w:tc>
          <w:tcPr>
            <w:tcW w:w="2443" w:type="dxa"/>
            <w:shd w:val="clear" w:color="auto" w:fill="auto"/>
          </w:tcPr>
          <w:p w14:paraId="48D832E0" w14:textId="0AC78BDC" w:rsidR="003E120A" w:rsidRPr="00C50275" w:rsidRDefault="003E120A" w:rsidP="003E120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0275">
              <w:rPr>
                <w:rFonts w:asciiTheme="minorHAnsi" w:hAnsiTheme="minorHAnsi"/>
                <w:iCs/>
              </w:rPr>
              <w:t>Llevar a cabo el catálogo y el estudio, el cual concluirá en diciembre de 2020.</w:t>
            </w:r>
          </w:p>
        </w:tc>
      </w:tr>
    </w:tbl>
    <w:p w14:paraId="23A9AD74" w14:textId="33913282" w:rsidR="0041069B" w:rsidRDefault="0041069B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644B7F5D" w14:textId="77777777" w:rsidR="0041069B" w:rsidRDefault="0041069B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tbl>
      <w:tblPr>
        <w:tblW w:w="941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6"/>
      </w:tblGrid>
      <w:tr w:rsidR="003414E8" w:rsidRPr="00930172" w14:paraId="1DB21BBB" w14:textId="77777777" w:rsidTr="0041069B">
        <w:trPr>
          <w:trHeight w:val="300"/>
          <w:tblCellSpacing w:w="20" w:type="dxa"/>
        </w:trPr>
        <w:tc>
          <w:tcPr>
            <w:tcW w:w="933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lastRenderedPageBreak/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3231F788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Se considera que el Informe de la Evaluación Específica de Desempeño, contiene los elementos necesarios para conocer el </w:t>
      </w:r>
      <w:r w:rsidR="0041069B">
        <w:rPr>
          <w:rFonts w:asciiTheme="minorHAnsi" w:hAnsiTheme="minorHAnsi"/>
          <w:sz w:val="24"/>
          <w:szCs w:val="24"/>
          <w:lang w:val="es-ES"/>
        </w:rPr>
        <w:t>fondo</w:t>
      </w:r>
      <w:r>
        <w:rPr>
          <w:rFonts w:asciiTheme="minorHAnsi" w:hAnsiTheme="minorHAnsi"/>
          <w:sz w:val="24"/>
          <w:szCs w:val="24"/>
          <w:lang w:val="es-ES"/>
        </w:rPr>
        <w:t xml:space="preserve"> y su evolución a través del tiempo.</w:t>
      </w:r>
    </w:p>
    <w:p w14:paraId="25D447E7" w14:textId="77777777" w:rsidR="00232E33" w:rsidRP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65887499" w14:textId="4EF19B7D" w:rsidR="00FA04A3" w:rsidRPr="00930172" w:rsidRDefault="0041069B" w:rsidP="0041069B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41069B">
        <w:rPr>
          <w:rFonts w:asciiTheme="minorHAnsi" w:hAnsiTheme="minorHAnsi"/>
          <w:sz w:val="24"/>
          <w:szCs w:val="24"/>
          <w:lang w:val="es-ES"/>
        </w:rPr>
        <w:t>Durante el ejercicio fiscal 2019 el Instituto Sinaloense de Infraestructura Física Educativa</w:t>
      </w:r>
      <w:r w:rsidR="00501BF9">
        <w:rPr>
          <w:rFonts w:asciiTheme="minorHAnsi" w:hAnsiTheme="minorHAnsi"/>
          <w:sz w:val="24"/>
          <w:szCs w:val="24"/>
          <w:lang w:val="es-ES"/>
        </w:rPr>
        <w:t xml:space="preserve"> (ISIFE)</w:t>
      </w:r>
      <w:r w:rsidRPr="0041069B">
        <w:rPr>
          <w:rFonts w:asciiTheme="minorHAnsi" w:hAnsiTheme="minorHAnsi"/>
          <w:sz w:val="24"/>
          <w:szCs w:val="24"/>
          <w:lang w:val="es-ES"/>
        </w:rPr>
        <w:t xml:space="preserve"> con la realización de acciones necesarias para la contribución al indicador sectorial del eje general Beneficencia, se logró atender a 404 planteles educativos de nivel escolar básico, las cuales se dividen en las categorías de Construcción, Rehabilitación y/o mantenimiento, equipamiento y necesidades de infraestructura, lo cual se traduce a la beneficencia directa de un total de 516,320 alumnos alrededor del estado de Sinaloa, contribuyendo en la obtención de una educación con mayor calidad.</w:t>
      </w: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3E479211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Evaluación para el Ejercicio Fiscal 201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9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9"/>
      <w:headerReference w:type="first" r:id="rId10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0E7F2" w14:textId="77777777" w:rsidR="00E26DB1" w:rsidRDefault="00E26DB1" w:rsidP="008E5209">
      <w:pPr>
        <w:spacing w:after="0" w:line="240" w:lineRule="auto"/>
      </w:pPr>
      <w:r>
        <w:separator/>
      </w:r>
    </w:p>
  </w:endnote>
  <w:endnote w:type="continuationSeparator" w:id="0">
    <w:p w14:paraId="252668B0" w14:textId="77777777" w:rsidR="00E26DB1" w:rsidRDefault="00E26DB1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tserrat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8FB23" w14:textId="77777777" w:rsidR="00E26DB1" w:rsidRDefault="00E26DB1" w:rsidP="008E5209">
      <w:pPr>
        <w:spacing w:after="0" w:line="240" w:lineRule="auto"/>
      </w:pPr>
      <w:r>
        <w:separator/>
      </w:r>
    </w:p>
  </w:footnote>
  <w:footnote w:type="continuationSeparator" w:id="0">
    <w:p w14:paraId="2F959F04" w14:textId="77777777" w:rsidR="00E26DB1" w:rsidRDefault="00E26DB1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70624"/>
    <w:multiLevelType w:val="hybridMultilevel"/>
    <w:tmpl w:val="62D4B520"/>
    <w:lvl w:ilvl="0" w:tplc="28D01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4D4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07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9415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DC4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8A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63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837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9C3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767E8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E120A"/>
    <w:rsid w:val="003E326B"/>
    <w:rsid w:val="003E4BAA"/>
    <w:rsid w:val="003E6E57"/>
    <w:rsid w:val="003F09A1"/>
    <w:rsid w:val="003F0AF3"/>
    <w:rsid w:val="003F315D"/>
    <w:rsid w:val="003F5FE3"/>
    <w:rsid w:val="0041069B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3189"/>
    <w:rsid w:val="004E5966"/>
    <w:rsid w:val="004F1261"/>
    <w:rsid w:val="00501BF9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2BCC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0785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968AC"/>
    <w:rsid w:val="008A0BCB"/>
    <w:rsid w:val="008A0CB2"/>
    <w:rsid w:val="008D08A8"/>
    <w:rsid w:val="008D2433"/>
    <w:rsid w:val="008E3483"/>
    <w:rsid w:val="008E5209"/>
    <w:rsid w:val="008E745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50021"/>
    <w:rsid w:val="0096110F"/>
    <w:rsid w:val="009768FB"/>
    <w:rsid w:val="00983315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1A42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614DF"/>
    <w:rsid w:val="00B71DBF"/>
    <w:rsid w:val="00BA0E7C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0275"/>
    <w:rsid w:val="00C54827"/>
    <w:rsid w:val="00C66011"/>
    <w:rsid w:val="00C759BF"/>
    <w:rsid w:val="00C75A07"/>
    <w:rsid w:val="00C7667F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26DB1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6BD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7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3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1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6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F0B7-E551-49EF-992C-23D72641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640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CLSinaloa</cp:lastModifiedBy>
  <cp:revision>13</cp:revision>
  <cp:lastPrinted>2020-12-09T20:10:00Z</cp:lastPrinted>
  <dcterms:created xsi:type="dcterms:W3CDTF">2020-11-17T20:55:00Z</dcterms:created>
  <dcterms:modified xsi:type="dcterms:W3CDTF">2020-12-09T20:19:00Z</dcterms:modified>
</cp:coreProperties>
</file>