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4"/>
        <w:gridCol w:w="6242"/>
      </w:tblGrid>
      <w:tr w:rsidR="00091285" w:rsidRPr="00E1388F" w14:paraId="31D6CD3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2B065DFD" w:rsidR="00091285" w:rsidRPr="00AA45DE" w:rsidRDefault="00E151A7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E151A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Servicios Descentralizados para la Educación de los Adultos</w:t>
            </w:r>
          </w:p>
        </w:tc>
      </w:tr>
      <w:tr w:rsidR="00091285" w:rsidRPr="00E1388F" w14:paraId="6F6202EB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4486A754" w:rsidR="00091285" w:rsidRPr="00AA45DE" w:rsidRDefault="00E151A7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E151A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Instituto Sinaloense para la Educación de los Adultos (ISEA)</w:t>
            </w:r>
          </w:p>
        </w:tc>
      </w:tr>
      <w:tr w:rsidR="002E2401" w:rsidRPr="00E1388F" w14:paraId="180EC860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center"/>
          </w:tcPr>
          <w:p w14:paraId="3C049D2E" w14:textId="71129043" w:rsidR="002E2401" w:rsidRPr="00AA45DE" w:rsidRDefault="00E151A7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E151A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Instituto Sinaloense para la Educación de los Adultos (ISEA)</w:t>
            </w:r>
          </w:p>
        </w:tc>
      </w:tr>
      <w:tr w:rsidR="002E2401" w:rsidRPr="00E1388F" w14:paraId="08D1358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2E2401" w:rsidRPr="00E1388F" w14:paraId="0AAD0A0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57A582C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201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9</w:t>
            </w:r>
          </w:p>
        </w:tc>
      </w:tr>
      <w:tr w:rsidR="002E2401" w:rsidRPr="00E1388F" w14:paraId="0F5B205E" w14:textId="77777777" w:rsidTr="002E2401">
        <w:trPr>
          <w:trHeight w:val="300"/>
          <w:tblCellSpacing w:w="20" w:type="dxa"/>
        </w:trPr>
        <w:tc>
          <w:tcPr>
            <w:tcW w:w="9306" w:type="dxa"/>
            <w:gridSpan w:val="2"/>
            <w:shd w:val="clear" w:color="auto" w:fill="861D31"/>
            <w:noWrap/>
            <w:vAlign w:val="center"/>
          </w:tcPr>
          <w:p w14:paraId="5218755C" w14:textId="733CBC93" w:rsidR="002E2401" w:rsidRPr="00AA45DE" w:rsidRDefault="002E2401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las recomendaciones de la evaluación</w:t>
            </w:r>
          </w:p>
        </w:tc>
      </w:tr>
    </w:tbl>
    <w:p w14:paraId="77492E1D" w14:textId="57D50EE8" w:rsidR="00AA45DE" w:rsidRDefault="00AA45DE" w:rsidP="00F77312">
      <w:pPr>
        <w:spacing w:after="0"/>
      </w:pPr>
    </w:p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253"/>
        <w:gridCol w:w="2693"/>
        <w:gridCol w:w="2443"/>
      </w:tblGrid>
      <w:tr w:rsidR="00293605" w:rsidRPr="00F77312" w14:paraId="58322C92" w14:textId="77777777" w:rsidTr="009263AE">
        <w:tc>
          <w:tcPr>
            <w:tcW w:w="1995" w:type="dxa"/>
            <w:shd w:val="clear" w:color="auto" w:fill="861D31"/>
            <w:vAlign w:val="center"/>
          </w:tcPr>
          <w:p w14:paraId="4C192136" w14:textId="7CBF6D4D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2253" w:type="dxa"/>
            <w:shd w:val="clear" w:color="auto" w:fill="861D31"/>
            <w:vAlign w:val="center"/>
          </w:tcPr>
          <w:p w14:paraId="1C66CF4F" w14:textId="43AADA5B" w:rsidR="00293605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693" w:type="dxa"/>
            <w:shd w:val="clear" w:color="auto" w:fill="861D31"/>
            <w:vAlign w:val="center"/>
          </w:tcPr>
          <w:p w14:paraId="7B1BE5C3" w14:textId="2CD2572B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D31"/>
            <w:vAlign w:val="center"/>
          </w:tcPr>
          <w:p w14:paraId="784A5F2D" w14:textId="59094A28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93605" w:rsidRPr="00930172" w14:paraId="4D3C4EB2" w14:textId="77777777" w:rsidTr="00F92BAE">
        <w:tc>
          <w:tcPr>
            <w:tcW w:w="1995" w:type="dxa"/>
          </w:tcPr>
          <w:p w14:paraId="17E4B42F" w14:textId="4F717DAE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1</w:t>
            </w:r>
          </w:p>
        </w:tc>
        <w:tc>
          <w:tcPr>
            <w:tcW w:w="2253" w:type="dxa"/>
          </w:tcPr>
          <w:p w14:paraId="3FD0CD4F" w14:textId="3DDE8488" w:rsidR="00293605" w:rsidRPr="00771385" w:rsidRDefault="004B075A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4B075A">
              <w:rPr>
                <w:rFonts w:asciiTheme="minorHAnsi" w:hAnsiTheme="minorHAnsi"/>
                <w:iCs/>
              </w:rPr>
              <w:t>Buscar una forma más didáctica de presentación de exámenes en línea aplicados a adultos mayores y así buscar aumentar el índice de exámenes aplicados.</w:t>
            </w:r>
          </w:p>
        </w:tc>
        <w:tc>
          <w:tcPr>
            <w:tcW w:w="2693" w:type="dxa"/>
            <w:shd w:val="clear" w:color="auto" w:fill="auto"/>
          </w:tcPr>
          <w:p w14:paraId="3BE12C11" w14:textId="35071FF3" w:rsidR="00293605" w:rsidRPr="00947A9B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947A9B">
              <w:rPr>
                <w:rFonts w:asciiTheme="minorHAnsi" w:hAnsiTheme="minorHAnsi"/>
                <w:iCs/>
              </w:rPr>
              <w:t xml:space="preserve">Es factible, se tiene planeado elaborar un </w:t>
            </w:r>
            <w:r w:rsidR="0028599A" w:rsidRPr="00947A9B">
              <w:rPr>
                <w:rFonts w:asciiTheme="minorHAnsi" w:hAnsiTheme="minorHAnsi"/>
                <w:iCs/>
              </w:rPr>
              <w:t>diagnóstico</w:t>
            </w:r>
            <w:r w:rsidRPr="00947A9B">
              <w:rPr>
                <w:rFonts w:asciiTheme="minorHAnsi" w:hAnsiTheme="minorHAnsi"/>
                <w:iCs/>
              </w:rPr>
              <w:t xml:space="preserve"> a </w:t>
            </w:r>
            <w:r w:rsidR="004B075A" w:rsidRPr="00947A9B">
              <w:rPr>
                <w:rFonts w:asciiTheme="minorHAnsi" w:hAnsiTheme="minorHAnsi"/>
                <w:iCs/>
              </w:rPr>
              <w:t>la forma en la que se presentan los exámenes en línea, para lograr que se apliquen de una forma más didáctica</w:t>
            </w:r>
            <w:r w:rsidRPr="00947A9B">
              <w:rPr>
                <w:rFonts w:asciiTheme="minorHAnsi" w:hAnsiTheme="minorHAnsi"/>
                <w:iCs/>
              </w:rPr>
              <w:t>.</w:t>
            </w:r>
          </w:p>
        </w:tc>
        <w:tc>
          <w:tcPr>
            <w:tcW w:w="2443" w:type="dxa"/>
            <w:shd w:val="clear" w:color="auto" w:fill="auto"/>
          </w:tcPr>
          <w:p w14:paraId="48645C78" w14:textId="2F624099" w:rsidR="00293605" w:rsidRPr="00947A9B" w:rsidRDefault="0077138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947A9B">
              <w:rPr>
                <w:rFonts w:asciiTheme="minorHAnsi" w:hAnsiTheme="minorHAnsi"/>
                <w:iCs/>
              </w:rPr>
              <w:t>Llevar a cabo el diagn</w:t>
            </w:r>
            <w:r w:rsidR="0028599A" w:rsidRPr="00947A9B">
              <w:rPr>
                <w:rFonts w:asciiTheme="minorHAnsi" w:hAnsiTheme="minorHAnsi"/>
                <w:iCs/>
              </w:rPr>
              <w:t>ó</w:t>
            </w:r>
            <w:r w:rsidRPr="00947A9B">
              <w:rPr>
                <w:rFonts w:asciiTheme="minorHAnsi" w:hAnsiTheme="minorHAnsi"/>
                <w:iCs/>
              </w:rPr>
              <w:t>stico, el cual concluirá en diciembre de 20</w:t>
            </w:r>
            <w:r w:rsidR="009263AE" w:rsidRPr="00947A9B">
              <w:rPr>
                <w:rFonts w:asciiTheme="minorHAnsi" w:hAnsiTheme="minorHAnsi"/>
                <w:iCs/>
              </w:rPr>
              <w:t>20</w:t>
            </w:r>
            <w:r w:rsidRPr="00947A9B">
              <w:rPr>
                <w:rFonts w:asciiTheme="minorHAnsi" w:hAnsiTheme="minorHAnsi"/>
                <w:iCs/>
              </w:rPr>
              <w:t>.</w:t>
            </w:r>
          </w:p>
        </w:tc>
      </w:tr>
      <w:tr w:rsidR="004B075A" w:rsidRPr="00930172" w14:paraId="4F6E4BA1" w14:textId="77777777" w:rsidTr="00F92BAE">
        <w:tc>
          <w:tcPr>
            <w:tcW w:w="1995" w:type="dxa"/>
          </w:tcPr>
          <w:p w14:paraId="1DA3DA1C" w14:textId="075F28FF" w:rsidR="004B075A" w:rsidRPr="00771385" w:rsidRDefault="004B075A" w:rsidP="004B075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2</w:t>
            </w:r>
          </w:p>
        </w:tc>
        <w:tc>
          <w:tcPr>
            <w:tcW w:w="2253" w:type="dxa"/>
          </w:tcPr>
          <w:p w14:paraId="50ABFA03" w14:textId="3C5C39DB" w:rsidR="004B075A" w:rsidRPr="00771385" w:rsidRDefault="004B075A" w:rsidP="004B0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  <w:lang w:val="es-ES"/>
              </w:rPr>
            </w:pPr>
            <w:r w:rsidRPr="004B075A">
              <w:rPr>
                <w:rFonts w:asciiTheme="minorHAnsi" w:hAnsiTheme="minorHAnsi"/>
                <w:iCs/>
                <w:lang w:val="es-ES"/>
              </w:rPr>
              <w:t>Mejorar y o en su caso implementar mecanismos que contribuyan a reducir el analfabetismo en el estado</w:t>
            </w:r>
            <w:r>
              <w:rPr>
                <w:rFonts w:asciiTheme="minorHAnsi" w:hAnsiTheme="minorHAnsi"/>
                <w:iCs/>
                <w:lang w:val="es-E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1F316AD" w14:textId="44D7CC1D" w:rsidR="004B075A" w:rsidRPr="00947A9B" w:rsidRDefault="004B075A" w:rsidP="004B075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947A9B">
              <w:rPr>
                <w:rFonts w:asciiTheme="minorHAnsi" w:hAnsiTheme="minorHAnsi"/>
              </w:rPr>
              <w:t>Es factible, se tiene planeado elaborar un diagnóstico a los mecanismos con los que se cuenta, bien sea para actualizarlos o para crear nuevos, con la finalidad de reducir el analfabetismo en el estado.</w:t>
            </w:r>
          </w:p>
        </w:tc>
        <w:tc>
          <w:tcPr>
            <w:tcW w:w="2443" w:type="dxa"/>
            <w:shd w:val="clear" w:color="auto" w:fill="auto"/>
          </w:tcPr>
          <w:p w14:paraId="55B9AEA8" w14:textId="6491F24F" w:rsidR="004B075A" w:rsidRPr="00947A9B" w:rsidRDefault="004B075A" w:rsidP="004B075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947A9B">
              <w:rPr>
                <w:rFonts w:asciiTheme="minorHAnsi" w:hAnsiTheme="minorHAnsi"/>
                <w:iCs/>
              </w:rPr>
              <w:t>Llevar a cabo el diagnóstico, el cual concluirá en diciembre de 2020.</w:t>
            </w:r>
          </w:p>
        </w:tc>
      </w:tr>
    </w:tbl>
    <w:p w14:paraId="23A9AD74" w14:textId="5BAC84E2" w:rsidR="00F77312" w:rsidRPr="00930172" w:rsidRDefault="00F77312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3414E8" w:rsidRPr="00930172" w14:paraId="1DB21BBB" w14:textId="77777777" w:rsidTr="003578C1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0C0B0456" w14:textId="76F371AC" w:rsidR="003414E8" w:rsidRPr="00232E33" w:rsidRDefault="00E12CA5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232E33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Posición Institucional respecto de la evaluación</w:t>
            </w:r>
          </w:p>
        </w:tc>
      </w:tr>
    </w:tbl>
    <w:p w14:paraId="1C0BA891" w14:textId="745CD735" w:rsidR="00EC63B6" w:rsidRPr="00930172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58DBD1A8" w14:textId="1451EBEB" w:rsidR="00EE0924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Se considera que el Informe de la Evaluación Específica de Desempeño, contiene los elementos necesarios para conocer el programa y su evolución a través del tiempo.</w:t>
      </w:r>
    </w:p>
    <w:p w14:paraId="25D447E7" w14:textId="195F60BD" w:rsidR="00232E33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B0EFDBC" w14:textId="77777777" w:rsidR="001F2BAB" w:rsidRPr="00232E33" w:rsidRDefault="001F2BAB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232E33" w:rsidRPr="00930172" w14:paraId="64BF063D" w14:textId="77777777" w:rsidTr="002568FA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589EF237" w14:textId="0DD79B0C" w:rsidR="00232E33" w:rsidRPr="00232E33" w:rsidRDefault="00232E33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lastRenderedPageBreak/>
              <w:t>Comentarios específicos</w:t>
            </w:r>
          </w:p>
        </w:tc>
      </w:tr>
    </w:tbl>
    <w:p w14:paraId="0F5F3F55" w14:textId="77777777" w:rsidR="00232E33" w:rsidRPr="00930172" w:rsidRDefault="00232E33" w:rsidP="00232E33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9CD620F" w14:textId="760980B5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4ACE6304" w14:textId="3C6BFF86" w:rsidR="00EE0924" w:rsidRDefault="00232E33" w:rsidP="005C0CBC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El programa muestra un cumplimiento en sus metas y avances de manera ascendente.</w:t>
      </w:r>
    </w:p>
    <w:p w14:paraId="4DD983FC" w14:textId="77777777" w:rsidR="00FA04A3" w:rsidRDefault="00FA04A3" w:rsidP="00FA04A3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77F9257" w14:textId="4F9EAD7F" w:rsidR="001F2BAB" w:rsidRDefault="00B33710" w:rsidP="003A1E0D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1F2BAB">
        <w:rPr>
          <w:rFonts w:asciiTheme="minorHAnsi" w:hAnsiTheme="minorHAnsi"/>
          <w:sz w:val="24"/>
          <w:szCs w:val="24"/>
          <w:lang w:val="es-ES"/>
        </w:rPr>
        <w:t>Para lograr que más jóvenes y adultos se incorporaran</w:t>
      </w:r>
      <w:r w:rsidR="001F2BAB" w:rsidRPr="001F2BAB">
        <w:rPr>
          <w:rFonts w:asciiTheme="minorHAnsi" w:hAnsiTheme="minorHAnsi"/>
          <w:sz w:val="24"/>
          <w:szCs w:val="24"/>
          <w:lang w:val="es-ES"/>
        </w:rPr>
        <w:t xml:space="preserve"> a estudiar su educación </w:t>
      </w:r>
      <w:r w:rsidR="001F2BAB" w:rsidRPr="00CB224E"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básica en </w:t>
      </w:r>
      <w:r w:rsidR="00CB224E" w:rsidRPr="00CB224E">
        <w:rPr>
          <w:rFonts w:asciiTheme="minorHAnsi" w:hAnsiTheme="minorHAnsi"/>
          <w:color w:val="000000" w:themeColor="text1"/>
          <w:sz w:val="24"/>
          <w:szCs w:val="24"/>
          <w:lang w:val="es-ES"/>
        </w:rPr>
        <w:t>esta</w:t>
      </w:r>
      <w:r w:rsidR="001F2BAB" w:rsidRPr="00CB224E"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 </w:t>
      </w:r>
      <w:r w:rsidRPr="00CB224E">
        <w:rPr>
          <w:rFonts w:asciiTheme="minorHAnsi" w:hAnsiTheme="minorHAnsi"/>
          <w:color w:val="000000" w:themeColor="text1"/>
          <w:sz w:val="24"/>
          <w:szCs w:val="24"/>
          <w:lang w:val="es-ES"/>
        </w:rPr>
        <w:t xml:space="preserve">modalidad, se continuo con el reforzamiento de las plazas comunitarias mediante </w:t>
      </w:r>
      <w:r w:rsidRPr="001F2BAB">
        <w:rPr>
          <w:rFonts w:asciiTheme="minorHAnsi" w:hAnsiTheme="minorHAnsi"/>
          <w:sz w:val="24"/>
          <w:szCs w:val="24"/>
          <w:lang w:val="es-ES"/>
        </w:rPr>
        <w:t>el desarrollo de diversas actividades para la promoción y difusión de los servicios educativos que se ofrecen en sus instalaciones</w:t>
      </w:r>
      <w:r w:rsidR="001F2BAB" w:rsidRPr="001F2BAB">
        <w:rPr>
          <w:rFonts w:asciiTheme="minorHAnsi" w:hAnsiTheme="minorHAnsi"/>
          <w:sz w:val="24"/>
          <w:szCs w:val="24"/>
          <w:lang w:val="es-ES"/>
        </w:rPr>
        <w:t xml:space="preserve">, mantenimiento al equipo de cómputo, remozamiento a las instalaciones y capacitación a las figuras </w:t>
      </w:r>
      <w:r w:rsidR="001F2BAB">
        <w:rPr>
          <w:rFonts w:asciiTheme="minorHAnsi" w:hAnsiTheme="minorHAnsi"/>
          <w:sz w:val="24"/>
          <w:szCs w:val="24"/>
          <w:lang w:val="es-ES"/>
        </w:rPr>
        <w:t xml:space="preserve">responsables </w:t>
      </w:r>
      <w:r w:rsidR="001F2BAB" w:rsidRPr="001F2BAB">
        <w:rPr>
          <w:rFonts w:asciiTheme="minorHAnsi" w:hAnsiTheme="minorHAnsi"/>
          <w:sz w:val="24"/>
          <w:szCs w:val="24"/>
          <w:lang w:val="es-ES"/>
        </w:rPr>
        <w:t>de plazas comunitarias.</w:t>
      </w:r>
    </w:p>
    <w:p w14:paraId="641DCB5A" w14:textId="77777777" w:rsidR="001F2BAB" w:rsidRPr="001F2BAB" w:rsidRDefault="001F2BAB" w:rsidP="001F2BAB">
      <w:pPr>
        <w:pStyle w:val="Prrafodelista"/>
        <w:rPr>
          <w:rFonts w:asciiTheme="minorHAnsi" w:hAnsiTheme="minorHAnsi"/>
          <w:sz w:val="24"/>
          <w:szCs w:val="24"/>
          <w:lang w:val="es-ES"/>
        </w:rPr>
      </w:pPr>
    </w:p>
    <w:p w14:paraId="65887499" w14:textId="14E16F82" w:rsidR="00FA04A3" w:rsidRPr="001F2BAB" w:rsidRDefault="00B33710" w:rsidP="003A1E0D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1F2BAB">
        <w:rPr>
          <w:rFonts w:asciiTheme="minorHAnsi" w:hAnsiTheme="minorHAnsi"/>
          <w:sz w:val="24"/>
          <w:szCs w:val="24"/>
          <w:lang w:val="es-ES"/>
        </w:rPr>
        <w:t>Se implementaron diversas acciones como la entrega de material didáctico y de examen en tiempo y forma, la capacitación que se les brindó a las figuras solidarias para que brindaran un servicio educativo de mayor calidad a los educandos, el reforzamiento en las asesorías de los módulos con mayor índice de reprobación, así como la programación de horarios para la aplicación de exámenes de acuerdo a la movilidad y al tiempo disponible de los educandos</w:t>
      </w:r>
      <w:r w:rsidR="00FA04A3" w:rsidRPr="001F2BAB">
        <w:rPr>
          <w:rFonts w:asciiTheme="minorHAnsi" w:hAnsiTheme="minorHAnsi"/>
          <w:sz w:val="24"/>
          <w:szCs w:val="24"/>
          <w:lang w:val="es-ES"/>
        </w:rPr>
        <w:t>.</w:t>
      </w:r>
    </w:p>
    <w:p w14:paraId="22CD248D" w14:textId="77777777" w:rsidR="00B33710" w:rsidRPr="00B33710" w:rsidRDefault="00B33710" w:rsidP="00B33710">
      <w:pPr>
        <w:pStyle w:val="Prrafodelista"/>
        <w:rPr>
          <w:rFonts w:asciiTheme="minorHAnsi" w:hAnsiTheme="minorHAnsi"/>
          <w:sz w:val="24"/>
          <w:szCs w:val="24"/>
          <w:lang w:val="es-ES"/>
        </w:rPr>
      </w:pPr>
    </w:p>
    <w:p w14:paraId="733DBEC9" w14:textId="72148500" w:rsidR="00B33710" w:rsidRPr="00930172" w:rsidRDefault="00B33710" w:rsidP="005C0CBC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B33710">
        <w:rPr>
          <w:rFonts w:asciiTheme="minorHAnsi" w:hAnsiTheme="minorHAnsi"/>
          <w:sz w:val="24"/>
          <w:szCs w:val="24"/>
          <w:lang w:val="es-ES"/>
        </w:rPr>
        <w:t>Se continuó con la promoción de los exámenes en línea a los usuarios de las plazas comunitarias y a los educandos que por algún motivo no pudieron presentar su examen el día programado</w:t>
      </w:r>
      <w:r w:rsidR="001F2BAB">
        <w:rPr>
          <w:rFonts w:asciiTheme="minorHAnsi" w:hAnsiTheme="minorHAnsi"/>
          <w:sz w:val="24"/>
          <w:szCs w:val="24"/>
          <w:lang w:val="es-ES"/>
        </w:rPr>
        <w:t xml:space="preserve"> para que acudieran a presentarlo en esta modalidad.</w:t>
      </w: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79858163" w14:textId="3E479211" w:rsidR="00EE0924" w:rsidRPr="00FA04A3" w:rsidRDefault="00EE0924" w:rsidP="005C0CBC">
      <w:pPr>
        <w:pStyle w:val="Prrafodelista"/>
        <w:numPr>
          <w:ilvl w:val="0"/>
          <w:numId w:val="2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FA04A3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Evaluación para el Ejercicio Fiscal 201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9</w:t>
      </w:r>
      <w:r w:rsidRPr="00FA04A3">
        <w:rPr>
          <w:rFonts w:asciiTheme="minorHAnsi" w:hAnsiTheme="minorHAnsi"/>
          <w:bCs/>
          <w:sz w:val="24"/>
          <w:szCs w:val="24"/>
          <w:lang w:val="es-ES"/>
        </w:rPr>
        <w:t xml:space="preserve"> y los TdR emitidos para tal efecto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.</w:t>
      </w:r>
    </w:p>
    <w:p w14:paraId="3B6FFF06" w14:textId="77777777" w:rsidR="00E474E8" w:rsidRPr="00930172" w:rsidRDefault="00E474E8" w:rsidP="00930172">
      <w:p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sectPr w:rsidR="00E474E8" w:rsidRPr="00930172" w:rsidSect="002B45DE">
      <w:headerReference w:type="default" r:id="rId8"/>
      <w:headerReference w:type="first" r:id="rId9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18A72" w14:textId="77777777" w:rsidR="00CB5F8A" w:rsidRDefault="00CB5F8A" w:rsidP="008E5209">
      <w:pPr>
        <w:spacing w:after="0" w:line="240" w:lineRule="auto"/>
      </w:pPr>
      <w:r>
        <w:separator/>
      </w:r>
    </w:p>
  </w:endnote>
  <w:endnote w:type="continuationSeparator" w:id="0">
    <w:p w14:paraId="358B94EA" w14:textId="77777777" w:rsidR="00CB5F8A" w:rsidRDefault="00CB5F8A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76FF0" w14:textId="77777777" w:rsidR="00CB5F8A" w:rsidRDefault="00CB5F8A" w:rsidP="008E5209">
      <w:pPr>
        <w:spacing w:after="0" w:line="240" w:lineRule="auto"/>
      </w:pPr>
      <w:r>
        <w:separator/>
      </w:r>
    </w:p>
  </w:footnote>
  <w:footnote w:type="continuationSeparator" w:id="0">
    <w:p w14:paraId="40AB97EC" w14:textId="77777777" w:rsidR="00CB5F8A" w:rsidRDefault="00CB5F8A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71F7"/>
    <w:rsid w:val="001D187A"/>
    <w:rsid w:val="001E5983"/>
    <w:rsid w:val="001E66BD"/>
    <w:rsid w:val="001F0D23"/>
    <w:rsid w:val="001F2BAB"/>
    <w:rsid w:val="001F2C2A"/>
    <w:rsid w:val="001F6318"/>
    <w:rsid w:val="0020020C"/>
    <w:rsid w:val="0020155A"/>
    <w:rsid w:val="002030DF"/>
    <w:rsid w:val="002051F1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46EC3"/>
    <w:rsid w:val="00256B08"/>
    <w:rsid w:val="00263C83"/>
    <w:rsid w:val="00264327"/>
    <w:rsid w:val="0026692D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B075A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12C56"/>
    <w:rsid w:val="00531BE3"/>
    <w:rsid w:val="00531C3D"/>
    <w:rsid w:val="005369D7"/>
    <w:rsid w:val="00550AFC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67862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86D82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47A9B"/>
    <w:rsid w:val="00950021"/>
    <w:rsid w:val="0096110F"/>
    <w:rsid w:val="009768FB"/>
    <w:rsid w:val="00983315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E0BD1"/>
    <w:rsid w:val="00AE4E69"/>
    <w:rsid w:val="00AE5C01"/>
    <w:rsid w:val="00B10612"/>
    <w:rsid w:val="00B20F0E"/>
    <w:rsid w:val="00B22ADF"/>
    <w:rsid w:val="00B24DE7"/>
    <w:rsid w:val="00B33710"/>
    <w:rsid w:val="00B3544D"/>
    <w:rsid w:val="00B35EB8"/>
    <w:rsid w:val="00B435F5"/>
    <w:rsid w:val="00B5124C"/>
    <w:rsid w:val="00B51B31"/>
    <w:rsid w:val="00B614DF"/>
    <w:rsid w:val="00B71DBF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224E"/>
    <w:rsid w:val="00CB5F8A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51A7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2843"/>
    <w:rsid w:val="00EE0924"/>
    <w:rsid w:val="00EE32E3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A5DADAE1-C815-4861-97CD-2FFD4122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13F9-0D3C-4A0B-916B-47484885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7660@officeent.pw</cp:lastModifiedBy>
  <cp:revision>6</cp:revision>
  <cp:lastPrinted>2019-10-11T00:40:00Z</cp:lastPrinted>
  <dcterms:created xsi:type="dcterms:W3CDTF">2020-09-04T19:29:00Z</dcterms:created>
  <dcterms:modified xsi:type="dcterms:W3CDTF">2020-09-21T18:42:00Z</dcterms:modified>
</cp:coreProperties>
</file>