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1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176"/>
        <w:gridCol w:w="2798"/>
        <w:gridCol w:w="502"/>
        <w:gridCol w:w="1462"/>
        <w:gridCol w:w="3172"/>
      </w:tblGrid>
      <w:tr w:rsidR="00690BCC" w:rsidRPr="00E1388F" w14:paraId="3643E903" w14:textId="77777777" w:rsidTr="00517737">
        <w:trPr>
          <w:trHeight w:val="300"/>
          <w:tblCellSpacing w:w="20" w:type="dxa"/>
        </w:trPr>
        <w:tc>
          <w:tcPr>
            <w:tcW w:w="10143" w:type="dxa"/>
            <w:gridSpan w:val="5"/>
            <w:shd w:val="clear" w:color="000000" w:fill="8B1D31"/>
            <w:vAlign w:val="bottom"/>
            <w:hideMark/>
          </w:tcPr>
          <w:p w14:paraId="1CBDBE8D" w14:textId="77777777" w:rsidR="00E1388F" w:rsidRPr="00E1388F" w:rsidRDefault="00E1388F" w:rsidP="00E1388F">
            <w:pPr>
              <w:spacing w:after="0" w:line="240" w:lineRule="auto"/>
              <w:rPr>
                <w:rFonts w:eastAsia="Times New Roman"/>
                <w:b/>
                <w:bCs/>
                <w:color w:val="FFFFFF"/>
                <w:lang w:eastAsia="es-MX"/>
              </w:rPr>
            </w:pPr>
            <w:r w:rsidRPr="00E1388F">
              <w:rPr>
                <w:rFonts w:eastAsia="Times New Roman"/>
                <w:b/>
                <w:bCs/>
                <w:color w:val="FFFFFF"/>
                <w:lang w:eastAsia="es-MX"/>
              </w:rPr>
              <w:t>1. Descripción de la Evaluación</w:t>
            </w:r>
          </w:p>
        </w:tc>
      </w:tr>
      <w:tr w:rsidR="00690BCC" w:rsidRPr="00E1388F" w14:paraId="7AA76B88" w14:textId="77777777" w:rsidTr="00517737">
        <w:trPr>
          <w:trHeight w:val="390"/>
          <w:tblCellSpacing w:w="20" w:type="dxa"/>
        </w:trPr>
        <w:tc>
          <w:tcPr>
            <w:tcW w:w="10143" w:type="dxa"/>
            <w:gridSpan w:val="5"/>
            <w:shd w:val="clear" w:color="000000" w:fill="FFFFFF"/>
            <w:hideMark/>
          </w:tcPr>
          <w:p w14:paraId="664EDDFF" w14:textId="77777777"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1.1 Nombre de la Evaluación:</w:t>
            </w:r>
            <w:r w:rsidR="002D1AFC" w:rsidRPr="00F26D0B">
              <w:rPr>
                <w:rFonts w:eastAsia="Times New Roman"/>
                <w:b/>
                <w:color w:val="000000"/>
                <w:lang w:eastAsia="es-MX"/>
              </w:rPr>
              <w:t xml:space="preserve"> </w:t>
            </w:r>
            <w:r w:rsidR="00FB4127">
              <w:rPr>
                <w:rFonts w:cstheme="minorHAnsi"/>
              </w:rPr>
              <w:t>Evaluación del desempeño</w:t>
            </w:r>
          </w:p>
        </w:tc>
      </w:tr>
      <w:tr w:rsidR="00690BCC" w:rsidRPr="00E1388F" w14:paraId="24988F64" w14:textId="77777777" w:rsidTr="00517737">
        <w:trPr>
          <w:trHeight w:val="390"/>
          <w:tblCellSpacing w:w="20" w:type="dxa"/>
        </w:trPr>
        <w:tc>
          <w:tcPr>
            <w:tcW w:w="10143" w:type="dxa"/>
            <w:gridSpan w:val="5"/>
            <w:shd w:val="clear" w:color="000000" w:fill="FFFFFF"/>
            <w:hideMark/>
          </w:tcPr>
          <w:p w14:paraId="03D52FD4" w14:textId="0B1A9E14" w:rsidR="00E1388F" w:rsidRPr="00F26D0B" w:rsidRDefault="00E1388F" w:rsidP="005A3FEB">
            <w:pPr>
              <w:spacing w:after="0" w:line="240" w:lineRule="auto"/>
              <w:rPr>
                <w:rFonts w:eastAsia="Times New Roman"/>
                <w:b/>
                <w:color w:val="000000"/>
                <w:lang w:eastAsia="es-MX"/>
              </w:rPr>
            </w:pPr>
            <w:r w:rsidRPr="00F26D0B">
              <w:rPr>
                <w:rFonts w:eastAsia="Times New Roman"/>
                <w:b/>
                <w:color w:val="000000"/>
                <w:lang w:eastAsia="es-MX"/>
              </w:rPr>
              <w:t>1.2 Fecha de Inicio de la Evaluación</w:t>
            </w:r>
            <w:r w:rsidR="003A23B0">
              <w:rPr>
                <w:rFonts w:eastAsia="Times New Roman"/>
                <w:b/>
                <w:color w:val="000000"/>
                <w:lang w:eastAsia="es-MX"/>
              </w:rPr>
              <w:t>:</w:t>
            </w:r>
            <w:r w:rsidRPr="00F26D0B">
              <w:rPr>
                <w:rFonts w:eastAsia="Times New Roman"/>
                <w:b/>
                <w:color w:val="000000"/>
                <w:lang w:eastAsia="es-MX"/>
              </w:rPr>
              <w:t xml:space="preserve"> </w:t>
            </w:r>
            <w:r w:rsidRPr="00CF6218">
              <w:rPr>
                <w:rFonts w:eastAsia="Times New Roman"/>
                <w:bCs/>
                <w:color w:val="000000"/>
                <w:lang w:eastAsia="es-MX"/>
              </w:rPr>
              <w:t>(</w:t>
            </w:r>
            <w:r w:rsidR="005A3FEB" w:rsidRPr="00CF6218">
              <w:rPr>
                <w:rFonts w:eastAsia="Times New Roman"/>
                <w:bCs/>
                <w:color w:val="000000"/>
                <w:lang w:eastAsia="es-MX"/>
              </w:rPr>
              <w:t>25</w:t>
            </w:r>
            <w:r w:rsidRPr="00CF6218">
              <w:rPr>
                <w:rFonts w:eastAsia="Times New Roman"/>
                <w:bCs/>
                <w:color w:val="000000"/>
                <w:lang w:eastAsia="es-MX"/>
              </w:rPr>
              <w:t>/</w:t>
            </w:r>
            <w:r w:rsidR="005A3FEB" w:rsidRPr="00CF6218">
              <w:rPr>
                <w:rFonts w:eastAsia="Times New Roman"/>
                <w:bCs/>
                <w:color w:val="000000"/>
                <w:lang w:eastAsia="es-MX"/>
              </w:rPr>
              <w:t>1</w:t>
            </w:r>
            <w:r w:rsidR="003A23B0" w:rsidRPr="00CF6218">
              <w:rPr>
                <w:rFonts w:eastAsia="Times New Roman"/>
                <w:bCs/>
                <w:color w:val="000000"/>
                <w:lang w:eastAsia="es-MX"/>
              </w:rPr>
              <w:t>0</w:t>
            </w:r>
            <w:r w:rsidRPr="00CF6218">
              <w:rPr>
                <w:rFonts w:eastAsia="Times New Roman"/>
                <w:bCs/>
                <w:color w:val="000000"/>
                <w:lang w:eastAsia="es-MX"/>
              </w:rPr>
              <w:t>/</w:t>
            </w:r>
            <w:r w:rsidR="005A3FEB" w:rsidRPr="00CF6218">
              <w:rPr>
                <w:rFonts w:eastAsia="Times New Roman"/>
                <w:bCs/>
                <w:color w:val="000000"/>
                <w:lang w:eastAsia="es-MX"/>
              </w:rPr>
              <w:t>2019</w:t>
            </w:r>
            <w:r w:rsidRPr="00CF6218">
              <w:rPr>
                <w:rFonts w:eastAsia="Times New Roman"/>
                <w:bCs/>
                <w:color w:val="000000"/>
                <w:lang w:eastAsia="es-MX"/>
              </w:rPr>
              <w:t>)</w:t>
            </w:r>
          </w:p>
        </w:tc>
      </w:tr>
      <w:tr w:rsidR="00690BCC" w:rsidRPr="00E1388F" w14:paraId="1FE59B1F" w14:textId="77777777" w:rsidTr="00517737">
        <w:trPr>
          <w:trHeight w:val="390"/>
          <w:tblCellSpacing w:w="20" w:type="dxa"/>
        </w:trPr>
        <w:tc>
          <w:tcPr>
            <w:tcW w:w="10143" w:type="dxa"/>
            <w:gridSpan w:val="5"/>
            <w:shd w:val="clear" w:color="000000" w:fill="FFFFFF"/>
            <w:hideMark/>
          </w:tcPr>
          <w:p w14:paraId="0BC1ABB9" w14:textId="6D769C15" w:rsidR="00E1388F" w:rsidRPr="00F26D0B" w:rsidRDefault="00E1388F" w:rsidP="005A3FEB">
            <w:pPr>
              <w:spacing w:after="0" w:line="240" w:lineRule="auto"/>
              <w:rPr>
                <w:rFonts w:eastAsia="Times New Roman"/>
                <w:b/>
                <w:color w:val="000000"/>
                <w:lang w:eastAsia="es-MX"/>
              </w:rPr>
            </w:pPr>
            <w:r w:rsidRPr="00F26D0B">
              <w:rPr>
                <w:rFonts w:eastAsia="Times New Roman"/>
                <w:b/>
                <w:color w:val="000000"/>
                <w:lang w:eastAsia="es-MX"/>
              </w:rPr>
              <w:t>1.3 Fecha de Término de la Evaluación</w:t>
            </w:r>
            <w:r w:rsidR="003A23B0">
              <w:rPr>
                <w:rFonts w:eastAsia="Times New Roman"/>
                <w:b/>
                <w:color w:val="000000"/>
                <w:lang w:eastAsia="es-MX"/>
              </w:rPr>
              <w:t>:</w:t>
            </w:r>
            <w:r w:rsidRPr="00F26D0B">
              <w:rPr>
                <w:rFonts w:eastAsia="Times New Roman"/>
                <w:b/>
                <w:color w:val="000000"/>
                <w:lang w:eastAsia="es-MX"/>
              </w:rPr>
              <w:t xml:space="preserve"> </w:t>
            </w:r>
            <w:r w:rsidRPr="00CF6218">
              <w:rPr>
                <w:rFonts w:eastAsia="Times New Roman"/>
                <w:bCs/>
                <w:color w:val="000000"/>
                <w:lang w:eastAsia="es-MX"/>
              </w:rPr>
              <w:t>(</w:t>
            </w:r>
            <w:r w:rsidR="005A3FEB" w:rsidRPr="00CF6218">
              <w:rPr>
                <w:rFonts w:eastAsia="Times New Roman"/>
                <w:bCs/>
                <w:color w:val="000000"/>
                <w:lang w:eastAsia="es-MX"/>
              </w:rPr>
              <w:t>28</w:t>
            </w:r>
            <w:r w:rsidRPr="00CF6218">
              <w:rPr>
                <w:rFonts w:eastAsia="Times New Roman"/>
                <w:bCs/>
                <w:color w:val="000000"/>
                <w:lang w:eastAsia="es-MX"/>
              </w:rPr>
              <w:t>/</w:t>
            </w:r>
            <w:r w:rsidR="005A3FEB" w:rsidRPr="00CF6218">
              <w:rPr>
                <w:rFonts w:eastAsia="Times New Roman"/>
                <w:bCs/>
                <w:color w:val="000000"/>
                <w:lang w:eastAsia="es-MX"/>
              </w:rPr>
              <w:t>01</w:t>
            </w:r>
            <w:r w:rsidRPr="00CF6218">
              <w:rPr>
                <w:rFonts w:eastAsia="Times New Roman"/>
                <w:bCs/>
                <w:color w:val="000000"/>
                <w:lang w:eastAsia="es-MX"/>
              </w:rPr>
              <w:t>/</w:t>
            </w:r>
            <w:r w:rsidR="005A3FEB" w:rsidRPr="00CF6218">
              <w:rPr>
                <w:rFonts w:eastAsia="Times New Roman"/>
                <w:bCs/>
                <w:color w:val="000000"/>
                <w:lang w:eastAsia="es-MX"/>
              </w:rPr>
              <w:t>2020</w:t>
            </w:r>
            <w:r w:rsidRPr="00CF6218">
              <w:rPr>
                <w:rFonts w:eastAsia="Times New Roman"/>
                <w:bCs/>
                <w:color w:val="000000"/>
                <w:lang w:eastAsia="es-MX"/>
              </w:rPr>
              <w:t>)</w:t>
            </w:r>
          </w:p>
        </w:tc>
      </w:tr>
      <w:tr w:rsidR="00690BCC" w:rsidRPr="00E1388F" w14:paraId="3869A1C1" w14:textId="77777777" w:rsidTr="00517737">
        <w:trPr>
          <w:trHeight w:val="410"/>
          <w:tblCellSpacing w:w="20" w:type="dxa"/>
        </w:trPr>
        <w:tc>
          <w:tcPr>
            <w:tcW w:w="10143" w:type="dxa"/>
            <w:gridSpan w:val="5"/>
            <w:shd w:val="clear" w:color="auto" w:fill="D9D9D9" w:themeFill="background1" w:themeFillShade="D9"/>
            <w:hideMark/>
          </w:tcPr>
          <w:p w14:paraId="467CAF9B" w14:textId="77777777" w:rsidR="00E1388F" w:rsidRPr="000A0543" w:rsidRDefault="00E1388F" w:rsidP="000A0543">
            <w:pPr>
              <w:spacing w:after="0" w:line="240" w:lineRule="auto"/>
              <w:rPr>
                <w:rFonts w:eastAsia="Times New Roman"/>
                <w:b/>
                <w:color w:val="000000"/>
                <w:lang w:eastAsia="es-MX"/>
              </w:rPr>
            </w:pPr>
            <w:r w:rsidRPr="000A0543">
              <w:rPr>
                <w:rFonts w:eastAsia="Times New Roman"/>
                <w:b/>
                <w:color w:val="000000"/>
                <w:lang w:eastAsia="es-MX"/>
              </w:rPr>
              <w:t>1.4 Nombre de la</w:t>
            </w:r>
            <w:r w:rsidR="0049271E" w:rsidRPr="000A0543">
              <w:rPr>
                <w:rFonts w:eastAsia="Times New Roman"/>
                <w:b/>
                <w:color w:val="000000"/>
                <w:lang w:eastAsia="es-MX"/>
              </w:rPr>
              <w:t xml:space="preserve"> </w:t>
            </w:r>
            <w:r w:rsidR="000A0543">
              <w:rPr>
                <w:rFonts w:eastAsia="Times New Roman"/>
                <w:b/>
                <w:color w:val="000000"/>
                <w:lang w:eastAsia="es-MX"/>
              </w:rPr>
              <w:t>p</w:t>
            </w:r>
            <w:r w:rsidR="0049271E" w:rsidRPr="000A0543">
              <w:rPr>
                <w:rFonts w:eastAsia="Times New Roman"/>
                <w:b/>
                <w:color w:val="000000"/>
                <w:lang w:eastAsia="es-MX"/>
              </w:rPr>
              <w:t xml:space="preserve">ersona </w:t>
            </w:r>
            <w:r w:rsidR="000A0543">
              <w:rPr>
                <w:rFonts w:eastAsia="Times New Roman"/>
                <w:b/>
                <w:color w:val="000000"/>
                <w:lang w:eastAsia="es-MX"/>
              </w:rPr>
              <w:t>r</w:t>
            </w:r>
            <w:r w:rsidR="0049271E" w:rsidRPr="000A0543">
              <w:rPr>
                <w:rFonts w:eastAsia="Times New Roman"/>
                <w:b/>
                <w:color w:val="000000"/>
                <w:lang w:eastAsia="es-MX"/>
              </w:rPr>
              <w:t>esponsable de darle seguimiento a la eva</w:t>
            </w:r>
            <w:r w:rsidRPr="000A0543">
              <w:rPr>
                <w:rFonts w:eastAsia="Times New Roman"/>
                <w:b/>
                <w:color w:val="000000"/>
                <w:lang w:eastAsia="es-MX"/>
              </w:rPr>
              <w:t>lu</w:t>
            </w:r>
            <w:r w:rsidR="0049271E" w:rsidRPr="000A0543">
              <w:rPr>
                <w:rFonts w:eastAsia="Times New Roman"/>
                <w:b/>
                <w:color w:val="000000"/>
                <w:lang w:eastAsia="es-MX"/>
              </w:rPr>
              <w:t>ación y nombre de la unidad a</w:t>
            </w:r>
            <w:r w:rsidRPr="000A0543">
              <w:rPr>
                <w:rFonts w:eastAsia="Times New Roman"/>
                <w:b/>
                <w:color w:val="000000"/>
                <w:lang w:eastAsia="es-MX"/>
              </w:rPr>
              <w:t xml:space="preserve">dministrativa a la que </w:t>
            </w:r>
            <w:r w:rsidR="000A0543">
              <w:rPr>
                <w:rFonts w:eastAsia="Times New Roman"/>
                <w:b/>
                <w:color w:val="000000"/>
                <w:lang w:eastAsia="es-MX"/>
              </w:rPr>
              <w:t>p</w:t>
            </w:r>
            <w:r w:rsidRPr="000A0543">
              <w:rPr>
                <w:rFonts w:eastAsia="Times New Roman"/>
                <w:b/>
                <w:color w:val="000000"/>
                <w:lang w:eastAsia="es-MX"/>
              </w:rPr>
              <w:t>ertenece:</w:t>
            </w:r>
          </w:p>
        </w:tc>
      </w:tr>
      <w:tr w:rsidR="000A0543" w:rsidRPr="00E1388F" w14:paraId="12FCC9EC" w14:textId="77777777" w:rsidTr="00517737">
        <w:trPr>
          <w:trHeight w:val="405"/>
          <w:tblCellSpacing w:w="20" w:type="dxa"/>
        </w:trPr>
        <w:tc>
          <w:tcPr>
            <w:tcW w:w="5471" w:type="dxa"/>
            <w:gridSpan w:val="3"/>
            <w:shd w:val="clear" w:color="000000" w:fill="FFFFFF"/>
            <w:hideMark/>
          </w:tcPr>
          <w:p w14:paraId="476F37CA"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Nombre:</w:t>
            </w:r>
          </w:p>
          <w:p w14:paraId="10BC0F96" w14:textId="77777777" w:rsidR="000A0543" w:rsidRPr="00E1388F" w:rsidRDefault="00FB4127" w:rsidP="00E1388F">
            <w:pPr>
              <w:spacing w:after="0" w:line="240" w:lineRule="auto"/>
              <w:rPr>
                <w:rFonts w:eastAsia="Times New Roman"/>
                <w:color w:val="000000"/>
                <w:lang w:eastAsia="es-MX"/>
              </w:rPr>
            </w:pPr>
            <w:r>
              <w:rPr>
                <w:rFonts w:eastAsia="Times New Roman"/>
                <w:color w:val="000000"/>
                <w:lang w:eastAsia="es-MX"/>
              </w:rPr>
              <w:t>Gustavo Guzmán Cazares/Domingo Vega González</w:t>
            </w:r>
          </w:p>
        </w:tc>
        <w:tc>
          <w:tcPr>
            <w:tcW w:w="4632" w:type="dxa"/>
            <w:gridSpan w:val="2"/>
            <w:shd w:val="clear" w:color="000000" w:fill="FFFFFF"/>
            <w:hideMark/>
          </w:tcPr>
          <w:p w14:paraId="19AEA0BF" w14:textId="77777777" w:rsidR="000A0543" w:rsidRPr="000A0543" w:rsidRDefault="000A0543" w:rsidP="00E1388F">
            <w:pPr>
              <w:spacing w:after="0" w:line="240" w:lineRule="auto"/>
              <w:rPr>
                <w:rFonts w:eastAsia="Times New Roman"/>
                <w:b/>
                <w:color w:val="000000"/>
                <w:lang w:eastAsia="es-MX"/>
              </w:rPr>
            </w:pPr>
            <w:r w:rsidRPr="000A0543">
              <w:rPr>
                <w:rFonts w:eastAsia="Times New Roman"/>
                <w:b/>
                <w:color w:val="000000"/>
                <w:lang w:eastAsia="es-MX"/>
              </w:rPr>
              <w:t>Unidad Administrativa:</w:t>
            </w:r>
          </w:p>
          <w:p w14:paraId="5B597C27" w14:textId="77777777" w:rsidR="000A0543" w:rsidRPr="00E1388F" w:rsidRDefault="00FB4127" w:rsidP="00E1388F">
            <w:pPr>
              <w:spacing w:after="0" w:line="240" w:lineRule="auto"/>
              <w:rPr>
                <w:rFonts w:eastAsia="Times New Roman"/>
                <w:color w:val="000000"/>
                <w:lang w:eastAsia="es-MX"/>
              </w:rPr>
            </w:pPr>
            <w:r>
              <w:rPr>
                <w:rFonts w:eastAsia="Times New Roman"/>
                <w:color w:val="000000"/>
                <w:lang w:eastAsia="es-MX"/>
              </w:rPr>
              <w:t>SESESP</w:t>
            </w:r>
          </w:p>
        </w:tc>
      </w:tr>
      <w:tr w:rsidR="00690BCC" w:rsidRPr="00E1388F" w14:paraId="21C6FB10" w14:textId="77777777" w:rsidTr="00517737">
        <w:trPr>
          <w:trHeight w:val="495"/>
          <w:tblCellSpacing w:w="20" w:type="dxa"/>
        </w:trPr>
        <w:tc>
          <w:tcPr>
            <w:tcW w:w="10143" w:type="dxa"/>
            <w:gridSpan w:val="5"/>
            <w:shd w:val="clear" w:color="000000" w:fill="FFFFFF"/>
            <w:hideMark/>
          </w:tcPr>
          <w:p w14:paraId="06DB2FD7" w14:textId="0439373A" w:rsidR="00E1388F" w:rsidRPr="00BA4A59" w:rsidRDefault="00E1388F" w:rsidP="00537028">
            <w:pPr>
              <w:spacing w:after="0"/>
              <w:jc w:val="both"/>
              <w:rPr>
                <w:rFonts w:eastAsia="Times New Roman"/>
                <w:b/>
                <w:color w:val="000000"/>
                <w:lang w:eastAsia="es-MX"/>
              </w:rPr>
            </w:pPr>
            <w:r w:rsidRPr="00BA4A59">
              <w:rPr>
                <w:rFonts w:eastAsia="Times New Roman"/>
                <w:b/>
                <w:color w:val="000000"/>
                <w:lang w:eastAsia="es-MX"/>
              </w:rPr>
              <w:t>1.5 Objetivo General de la Evaluación:</w:t>
            </w:r>
            <w:r w:rsidR="005A3FEB" w:rsidRPr="005A3FEB">
              <w:rPr>
                <w:color w:val="000000"/>
                <w:sz w:val="27"/>
                <w:szCs w:val="27"/>
              </w:rPr>
              <w:t xml:space="preserve"> </w:t>
            </w:r>
            <w:r w:rsidR="005A3FEB" w:rsidRPr="00537028">
              <w:rPr>
                <w:rFonts w:eastAsia="Times New Roman"/>
                <w:bCs/>
                <w:color w:val="000000"/>
                <w:lang w:eastAsia="es-MX"/>
              </w:rPr>
              <w:t>Analizar sistemáticamente los resultados obtenidos de los Programas con Prioridad Nacional y subprogramas contenidos en el Anexo Técnico del Convenio de Coordinación del FASP 2019 del Estado de Sinaloa, con base en la información entregada por las áreas responsables de su ejecución y operación, a fin de determinar su pertinencia, el logro de los objetivos y metas, así como la eficiencia, eficacia, calidad, impacto y sostenibilidad de los mismos.</w:t>
            </w:r>
          </w:p>
        </w:tc>
      </w:tr>
      <w:tr w:rsidR="00690BCC" w:rsidRPr="00E1388F" w14:paraId="67724B3E" w14:textId="77777777" w:rsidTr="00517737">
        <w:trPr>
          <w:trHeight w:val="450"/>
          <w:tblCellSpacing w:w="20" w:type="dxa"/>
        </w:trPr>
        <w:tc>
          <w:tcPr>
            <w:tcW w:w="10143" w:type="dxa"/>
            <w:gridSpan w:val="5"/>
            <w:shd w:val="clear" w:color="000000" w:fill="FFFFFF"/>
            <w:hideMark/>
          </w:tcPr>
          <w:p w14:paraId="699A51E0" w14:textId="77777777" w:rsidR="00A631C2" w:rsidRPr="00A631C2" w:rsidRDefault="00E1388F" w:rsidP="00A631C2">
            <w:pPr>
              <w:spacing w:after="0"/>
              <w:rPr>
                <w:rFonts w:eastAsia="Times New Roman"/>
                <w:b/>
                <w:color w:val="000000"/>
                <w:lang w:eastAsia="es-MX"/>
              </w:rPr>
            </w:pPr>
            <w:r w:rsidRPr="00A631C2">
              <w:rPr>
                <w:rFonts w:eastAsia="Times New Roman"/>
                <w:b/>
                <w:color w:val="000000"/>
                <w:lang w:eastAsia="es-MX"/>
              </w:rPr>
              <w:t xml:space="preserve">1.6 Objetivos </w:t>
            </w:r>
            <w:r w:rsidR="00332B81" w:rsidRPr="00A631C2">
              <w:rPr>
                <w:rFonts w:eastAsia="Times New Roman"/>
                <w:b/>
                <w:color w:val="000000"/>
                <w:lang w:eastAsia="es-MX"/>
              </w:rPr>
              <w:t>Específicas</w:t>
            </w:r>
            <w:r w:rsidRPr="00A631C2">
              <w:rPr>
                <w:rFonts w:eastAsia="Times New Roman"/>
                <w:b/>
                <w:color w:val="000000"/>
                <w:lang w:eastAsia="es-MX"/>
              </w:rPr>
              <w:t xml:space="preserve"> de la Evaluación:</w:t>
            </w:r>
            <w:r w:rsidR="00332B81" w:rsidRPr="00A631C2">
              <w:rPr>
                <w:rFonts w:eastAsia="Times New Roman"/>
                <w:b/>
                <w:color w:val="000000"/>
                <w:lang w:eastAsia="es-MX"/>
              </w:rPr>
              <w:t xml:space="preserve"> </w:t>
            </w:r>
          </w:p>
          <w:p w14:paraId="381980EB" w14:textId="77777777" w:rsidR="003752E1" w:rsidRPr="00537028" w:rsidRDefault="003752E1" w:rsidP="003752E1">
            <w:pPr>
              <w:pStyle w:val="Prrafodelista"/>
              <w:numPr>
                <w:ilvl w:val="0"/>
                <w:numId w:val="37"/>
              </w:numPr>
              <w:spacing w:after="0" w:line="240" w:lineRule="auto"/>
              <w:jc w:val="both"/>
              <w:rPr>
                <w:rFonts w:eastAsia="Times New Roman"/>
                <w:bCs/>
                <w:color w:val="000000"/>
                <w:lang w:eastAsia="es-MX"/>
              </w:rPr>
            </w:pPr>
            <w:r w:rsidRPr="00537028">
              <w:rPr>
                <w:rFonts w:eastAsia="Times New Roman"/>
                <w:bCs/>
                <w:color w:val="000000"/>
                <w:lang w:eastAsia="es-MX"/>
              </w:rPr>
              <w:t>Contar con una evaluación narrativa por subprograma que valore de manera clara y específica su desempeño y resultados.</w:t>
            </w:r>
          </w:p>
          <w:p w14:paraId="7CC1DFDB" w14:textId="2D40DCC3" w:rsidR="003752E1" w:rsidRPr="00537028" w:rsidRDefault="003752E1" w:rsidP="003752E1">
            <w:pPr>
              <w:pStyle w:val="Prrafodelista"/>
              <w:numPr>
                <w:ilvl w:val="0"/>
                <w:numId w:val="37"/>
              </w:numPr>
              <w:spacing w:after="0" w:line="240" w:lineRule="auto"/>
              <w:jc w:val="both"/>
              <w:rPr>
                <w:rFonts w:eastAsia="Times New Roman"/>
                <w:bCs/>
                <w:color w:val="000000"/>
                <w:lang w:eastAsia="es-MX"/>
              </w:rPr>
            </w:pPr>
            <w:r w:rsidRPr="00537028">
              <w:rPr>
                <w:rFonts w:eastAsia="Times New Roman"/>
                <w:bCs/>
                <w:color w:val="000000"/>
                <w:lang w:eastAsia="es-MX"/>
              </w:rPr>
              <w:t>Verificar el grado de cumplimiento de objetivos y metas, con base en indicadores estratégicos y de gestión que permitan conocer los resultados de la aplicación de los recursos.</w:t>
            </w:r>
          </w:p>
          <w:p w14:paraId="3E5412BA" w14:textId="2C620307" w:rsidR="003752E1" w:rsidRPr="00537028" w:rsidRDefault="003752E1" w:rsidP="003752E1">
            <w:pPr>
              <w:pStyle w:val="Prrafodelista"/>
              <w:numPr>
                <w:ilvl w:val="0"/>
                <w:numId w:val="37"/>
              </w:numPr>
              <w:spacing w:after="0" w:line="240" w:lineRule="auto"/>
              <w:jc w:val="both"/>
              <w:rPr>
                <w:rFonts w:eastAsia="Times New Roman"/>
                <w:bCs/>
                <w:color w:val="000000"/>
                <w:lang w:eastAsia="es-MX"/>
              </w:rPr>
            </w:pPr>
            <w:r w:rsidRPr="00537028">
              <w:rPr>
                <w:rFonts w:eastAsia="Times New Roman"/>
                <w:bCs/>
                <w:color w:val="000000"/>
                <w:lang w:eastAsia="es-MX"/>
              </w:rPr>
              <w:t>Presentar las evidencias necesarias para darle legitimidad al contenido de la evaluación.</w:t>
            </w:r>
          </w:p>
          <w:p w14:paraId="71681ECF" w14:textId="471AE362" w:rsidR="003752E1" w:rsidRPr="00537028" w:rsidRDefault="003752E1" w:rsidP="003752E1">
            <w:pPr>
              <w:pStyle w:val="Prrafodelista"/>
              <w:numPr>
                <w:ilvl w:val="0"/>
                <w:numId w:val="37"/>
              </w:numPr>
              <w:spacing w:after="0" w:line="240" w:lineRule="auto"/>
              <w:jc w:val="both"/>
              <w:rPr>
                <w:rFonts w:eastAsia="Times New Roman"/>
                <w:bCs/>
                <w:color w:val="000000"/>
                <w:lang w:eastAsia="es-MX"/>
              </w:rPr>
            </w:pPr>
            <w:r w:rsidRPr="00537028">
              <w:rPr>
                <w:rFonts w:eastAsia="Times New Roman"/>
                <w:bCs/>
                <w:color w:val="000000"/>
                <w:lang w:eastAsia="es-MX"/>
              </w:rPr>
              <w:t>Identificar los logros obtenidos en materia de seguridad pública, analizando de manera sistemática y objetiva las causas de las variaciones respecto a los objetivos y metas programados.</w:t>
            </w:r>
          </w:p>
          <w:p w14:paraId="4B539BE5" w14:textId="6D91F726" w:rsidR="003752E1" w:rsidRPr="00537028" w:rsidRDefault="003752E1" w:rsidP="003752E1">
            <w:pPr>
              <w:pStyle w:val="Prrafodelista"/>
              <w:numPr>
                <w:ilvl w:val="0"/>
                <w:numId w:val="37"/>
              </w:numPr>
              <w:spacing w:after="0" w:line="240" w:lineRule="auto"/>
              <w:jc w:val="both"/>
              <w:rPr>
                <w:rFonts w:eastAsia="Times New Roman"/>
                <w:bCs/>
                <w:color w:val="000000"/>
                <w:lang w:eastAsia="es-MX"/>
              </w:rPr>
            </w:pPr>
            <w:r w:rsidRPr="00537028">
              <w:rPr>
                <w:rFonts w:eastAsia="Times New Roman"/>
                <w:bCs/>
                <w:color w:val="000000"/>
                <w:lang w:eastAsia="es-MX"/>
              </w:rPr>
              <w:t>Describir el impacto de los resultados alcanzados en materia de seguridad pública, derivados de la ejecución de los programas financiados con las aportaciones conjuntas.</w:t>
            </w:r>
          </w:p>
          <w:p w14:paraId="7F21F103" w14:textId="13C350C3" w:rsidR="003752E1" w:rsidRPr="00537028" w:rsidRDefault="003752E1" w:rsidP="003752E1">
            <w:pPr>
              <w:pStyle w:val="Prrafodelista"/>
              <w:numPr>
                <w:ilvl w:val="0"/>
                <w:numId w:val="37"/>
              </w:numPr>
              <w:spacing w:after="0" w:line="240" w:lineRule="auto"/>
              <w:jc w:val="both"/>
              <w:rPr>
                <w:rFonts w:eastAsia="Times New Roman"/>
                <w:bCs/>
                <w:color w:val="000000"/>
                <w:lang w:eastAsia="es-MX"/>
              </w:rPr>
            </w:pPr>
            <w:r w:rsidRPr="00537028">
              <w:rPr>
                <w:rFonts w:eastAsia="Times New Roman"/>
                <w:bCs/>
                <w:color w:val="000000"/>
                <w:lang w:eastAsia="es-MX"/>
              </w:rPr>
              <w:t>Analizar el avance de las metas de los indicadores de la Matriz de Indicadores para Resultados (MIR) en 2019, respecto a las metas establecidas.</w:t>
            </w:r>
          </w:p>
          <w:p w14:paraId="1FBF567A" w14:textId="46FE084E" w:rsidR="003752E1" w:rsidRPr="00537028" w:rsidRDefault="003752E1" w:rsidP="003752E1">
            <w:pPr>
              <w:pStyle w:val="Prrafodelista"/>
              <w:numPr>
                <w:ilvl w:val="0"/>
                <w:numId w:val="37"/>
              </w:numPr>
              <w:spacing w:after="0" w:line="240" w:lineRule="auto"/>
              <w:jc w:val="both"/>
              <w:rPr>
                <w:rFonts w:eastAsia="Times New Roman"/>
                <w:bCs/>
                <w:color w:val="000000"/>
                <w:lang w:eastAsia="es-MX"/>
              </w:rPr>
            </w:pPr>
            <w:r w:rsidRPr="00537028">
              <w:rPr>
                <w:rFonts w:eastAsia="Times New Roman"/>
                <w:bCs/>
                <w:color w:val="000000"/>
                <w:lang w:eastAsia="es-MX"/>
              </w:rPr>
              <w:t>Identificar los principales aspectos susceptibles de mejora de los programas derivados de las evaluaciones externas.</w:t>
            </w:r>
          </w:p>
          <w:p w14:paraId="0DB4AD8A" w14:textId="1A916C68" w:rsidR="00E1388F" w:rsidRPr="00BA4A59" w:rsidRDefault="003752E1" w:rsidP="003752E1">
            <w:pPr>
              <w:pStyle w:val="Prrafodelista"/>
              <w:numPr>
                <w:ilvl w:val="0"/>
                <w:numId w:val="37"/>
              </w:numPr>
              <w:spacing w:after="0" w:line="240" w:lineRule="auto"/>
              <w:jc w:val="both"/>
              <w:rPr>
                <w:rFonts w:eastAsia="Times New Roman"/>
                <w:b/>
                <w:color w:val="000000"/>
                <w:lang w:eastAsia="es-MX"/>
              </w:rPr>
            </w:pPr>
            <w:r w:rsidRPr="00537028">
              <w:rPr>
                <w:rFonts w:eastAsia="Times New Roman"/>
                <w:bCs/>
                <w:color w:val="000000"/>
                <w:lang w:eastAsia="es-MX"/>
              </w:rPr>
              <w:t>Examinar los resultados del programa respecto a la atención del problema para el que fue creado.</w:t>
            </w:r>
          </w:p>
        </w:tc>
      </w:tr>
      <w:tr w:rsidR="00690BCC" w:rsidRPr="00E1388F" w14:paraId="14A423C6" w14:textId="77777777" w:rsidTr="00517737">
        <w:trPr>
          <w:trHeight w:val="480"/>
          <w:tblCellSpacing w:w="20" w:type="dxa"/>
        </w:trPr>
        <w:tc>
          <w:tcPr>
            <w:tcW w:w="10143" w:type="dxa"/>
            <w:gridSpan w:val="5"/>
            <w:shd w:val="clear" w:color="000000" w:fill="FFFFFF"/>
            <w:hideMark/>
          </w:tcPr>
          <w:p w14:paraId="26BD67A3" w14:textId="77777777" w:rsidR="00A97B59" w:rsidRDefault="00E1388F" w:rsidP="002272AA">
            <w:pPr>
              <w:spacing w:after="0"/>
              <w:rPr>
                <w:rFonts w:eastAsia="Times New Roman"/>
                <w:color w:val="000000"/>
                <w:lang w:eastAsia="es-MX"/>
              </w:rPr>
            </w:pPr>
            <w:r w:rsidRPr="00BA4A59">
              <w:rPr>
                <w:rFonts w:eastAsia="Times New Roman"/>
                <w:b/>
                <w:color w:val="000000"/>
                <w:lang w:eastAsia="es-MX"/>
              </w:rPr>
              <w:t>1.7 Metodología Utilizada en la Evaluación:</w:t>
            </w:r>
            <w:r w:rsidR="00332B81">
              <w:rPr>
                <w:rFonts w:eastAsia="Times New Roman"/>
                <w:color w:val="000000"/>
                <w:lang w:eastAsia="es-MX"/>
              </w:rPr>
              <w:t xml:space="preserve"> </w:t>
            </w:r>
          </w:p>
          <w:p w14:paraId="3FDCCCA8" w14:textId="22086AB6" w:rsidR="00E1388F" w:rsidRPr="00537028" w:rsidRDefault="003752E1" w:rsidP="003752E1">
            <w:pPr>
              <w:spacing w:after="0" w:line="240" w:lineRule="auto"/>
              <w:jc w:val="both"/>
              <w:rPr>
                <w:rFonts w:eastAsia="Times New Roman"/>
                <w:bCs/>
                <w:color w:val="000000"/>
                <w:lang w:eastAsia="es-MX"/>
              </w:rPr>
            </w:pPr>
            <w:r w:rsidRPr="00537028">
              <w:rPr>
                <w:rFonts w:eastAsia="Times New Roman"/>
                <w:bCs/>
                <w:color w:val="000000"/>
                <w:lang w:eastAsia="es-MX"/>
              </w:rPr>
              <w:t>La establecida en los Lineamientos Generales de Evaluación del Fondo de Aportaciones para la Seguridad Pública de los Estados y del Distrito Federal (FASP) para el ejercicio Fiscal 2019; publicados el 31 de agosto de 2019, emitidos por el Secretariado Ejecutivo del Sistema Nacional de Seguridad Pública (SESNSP)</w:t>
            </w:r>
          </w:p>
        </w:tc>
      </w:tr>
      <w:tr w:rsidR="00DF4DCD" w:rsidRPr="00E1388F" w14:paraId="13ED17A7" w14:textId="77777777" w:rsidTr="00517737">
        <w:trPr>
          <w:trHeight w:val="370"/>
          <w:tblCellSpacing w:w="20" w:type="dxa"/>
        </w:trPr>
        <w:tc>
          <w:tcPr>
            <w:tcW w:w="10143" w:type="dxa"/>
            <w:gridSpan w:val="5"/>
            <w:shd w:val="clear" w:color="auto" w:fill="D9D9D9" w:themeFill="background1" w:themeFillShade="D9"/>
          </w:tcPr>
          <w:p w14:paraId="72E69B9F" w14:textId="2A352E57" w:rsidR="00DF4DCD" w:rsidRPr="00BA4A59" w:rsidRDefault="00DF4DCD" w:rsidP="00DF4DCD">
            <w:pPr>
              <w:spacing w:after="0" w:line="240" w:lineRule="auto"/>
              <w:rPr>
                <w:rFonts w:eastAsia="Times New Roman"/>
                <w:b/>
                <w:color w:val="000000"/>
                <w:lang w:eastAsia="es-MX"/>
              </w:rPr>
            </w:pPr>
            <w:r w:rsidRPr="00BA4A59">
              <w:rPr>
                <w:rFonts w:eastAsia="Times New Roman"/>
                <w:b/>
                <w:color w:val="000000"/>
                <w:lang w:eastAsia="es-MX"/>
              </w:rPr>
              <w:t xml:space="preserve">Instrumentos de Recolección de Información: </w:t>
            </w:r>
            <w:r w:rsidRPr="00DF4DCD">
              <w:rPr>
                <w:rFonts w:eastAsia="Times New Roman"/>
                <w:b/>
                <w:color w:val="000000"/>
                <w:lang w:eastAsia="es-MX"/>
              </w:rPr>
              <w:t>Seleccionar con una (X) según sea el caso</w:t>
            </w:r>
          </w:p>
        </w:tc>
      </w:tr>
      <w:tr w:rsidR="00517737" w:rsidRPr="00E1388F" w14:paraId="70B193CE" w14:textId="77777777" w:rsidTr="00517737">
        <w:trPr>
          <w:trHeight w:val="480"/>
          <w:tblCellSpacing w:w="20" w:type="dxa"/>
        </w:trPr>
        <w:tc>
          <w:tcPr>
            <w:tcW w:w="2130" w:type="dxa"/>
            <w:shd w:val="clear" w:color="000000" w:fill="FFFFFF"/>
          </w:tcPr>
          <w:p w14:paraId="70A42027" w14:textId="045104A8" w:rsidR="00DF4DCD" w:rsidRPr="00BA4A59" w:rsidRDefault="00DF4DCD" w:rsidP="00DF4DCD">
            <w:pPr>
              <w:spacing w:after="0"/>
              <w:rPr>
                <w:rFonts w:eastAsia="Times New Roman"/>
                <w:b/>
                <w:color w:val="000000"/>
                <w:lang w:eastAsia="es-MX"/>
              </w:rPr>
            </w:pPr>
            <w:r w:rsidRPr="00BA4A59">
              <w:rPr>
                <w:rFonts w:eastAsia="Times New Roman"/>
                <w:b/>
                <w:color w:val="000000"/>
                <w:lang w:eastAsia="es-MX"/>
              </w:rPr>
              <w:t>Cuestionarios:</w:t>
            </w:r>
            <w:r>
              <w:rPr>
                <w:rFonts w:eastAsia="Times New Roman"/>
                <w:b/>
                <w:color w:val="000000"/>
                <w:lang w:eastAsia="es-MX"/>
              </w:rPr>
              <w:t xml:space="preserve"> X</w:t>
            </w:r>
          </w:p>
        </w:tc>
        <w:tc>
          <w:tcPr>
            <w:tcW w:w="2795" w:type="dxa"/>
            <w:shd w:val="clear" w:color="000000" w:fill="FFFFFF"/>
          </w:tcPr>
          <w:p w14:paraId="63726C74" w14:textId="332C5F26" w:rsidR="00DF4DCD" w:rsidRPr="00BA4A59" w:rsidRDefault="00DF4DCD" w:rsidP="00DF4DCD">
            <w:pPr>
              <w:spacing w:after="0"/>
              <w:rPr>
                <w:rFonts w:eastAsia="Times New Roman"/>
                <w:b/>
                <w:color w:val="000000"/>
                <w:lang w:eastAsia="es-MX"/>
              </w:rPr>
            </w:pPr>
            <w:r w:rsidRPr="00BA4A59">
              <w:rPr>
                <w:rFonts w:eastAsia="Times New Roman"/>
                <w:b/>
                <w:color w:val="000000"/>
                <w:lang w:eastAsia="es-MX"/>
              </w:rPr>
              <w:t>Entrevistas:</w:t>
            </w:r>
            <w:r>
              <w:rPr>
                <w:rFonts w:eastAsia="Times New Roman"/>
                <w:b/>
                <w:color w:val="000000"/>
                <w:lang w:eastAsia="es-MX"/>
              </w:rPr>
              <w:t xml:space="preserve"> X</w:t>
            </w:r>
          </w:p>
        </w:tc>
        <w:tc>
          <w:tcPr>
            <w:tcW w:w="1945" w:type="dxa"/>
            <w:gridSpan w:val="2"/>
            <w:shd w:val="clear" w:color="000000" w:fill="FFFFFF"/>
          </w:tcPr>
          <w:p w14:paraId="37B79ABF" w14:textId="484AFE89" w:rsidR="00DF4DCD" w:rsidRPr="00BA4A59" w:rsidRDefault="00DF4DCD" w:rsidP="00DF4DCD">
            <w:pPr>
              <w:spacing w:after="0"/>
              <w:rPr>
                <w:rFonts w:eastAsia="Times New Roman"/>
                <w:b/>
                <w:color w:val="000000"/>
                <w:lang w:eastAsia="es-MX"/>
              </w:rPr>
            </w:pPr>
            <w:r w:rsidRPr="00BA4A59">
              <w:rPr>
                <w:rFonts w:eastAsia="Times New Roman"/>
                <w:b/>
                <w:color w:val="000000"/>
                <w:lang w:eastAsia="es-MX"/>
              </w:rPr>
              <w:t>Formatos:</w:t>
            </w:r>
            <w:r>
              <w:rPr>
                <w:rFonts w:eastAsia="Times New Roman"/>
                <w:b/>
                <w:color w:val="000000"/>
                <w:lang w:eastAsia="es-MX"/>
              </w:rPr>
              <w:t xml:space="preserve"> X</w:t>
            </w:r>
          </w:p>
        </w:tc>
        <w:tc>
          <w:tcPr>
            <w:tcW w:w="3153" w:type="dxa"/>
            <w:shd w:val="clear" w:color="000000" w:fill="FFFFFF"/>
          </w:tcPr>
          <w:p w14:paraId="6B95E651" w14:textId="00139D6C" w:rsidR="00DF4DCD" w:rsidRPr="00BA4A59" w:rsidRDefault="00DF4DCD" w:rsidP="00DF4DCD">
            <w:pPr>
              <w:spacing w:after="0"/>
              <w:rPr>
                <w:rFonts w:eastAsia="Times New Roman"/>
                <w:b/>
                <w:color w:val="000000"/>
                <w:lang w:eastAsia="es-MX"/>
              </w:rPr>
            </w:pPr>
            <w:r w:rsidRPr="00BA4A59">
              <w:rPr>
                <w:rFonts w:eastAsia="Times New Roman"/>
                <w:b/>
                <w:color w:val="000000"/>
                <w:lang w:eastAsia="es-MX"/>
              </w:rPr>
              <w:t>Especifique:</w:t>
            </w:r>
            <w:r>
              <w:rPr>
                <w:rFonts w:eastAsia="Times New Roman"/>
                <w:b/>
                <w:color w:val="000000"/>
                <w:lang w:eastAsia="es-MX"/>
              </w:rPr>
              <w:t xml:space="preserve"> </w:t>
            </w:r>
            <w:r w:rsidRPr="00537028">
              <w:rPr>
                <w:rFonts w:eastAsia="Times New Roman"/>
                <w:bCs/>
                <w:color w:val="000000"/>
                <w:lang w:eastAsia="es-MX"/>
              </w:rPr>
              <w:t>Archivo del SESESP</w:t>
            </w:r>
          </w:p>
        </w:tc>
      </w:tr>
    </w:tbl>
    <w:p w14:paraId="38E69C33" w14:textId="77777777" w:rsidR="00517737" w:rsidRDefault="00517737" w:rsidP="00517737">
      <w:pPr>
        <w:spacing w:after="0"/>
      </w:pPr>
    </w:p>
    <w:tbl>
      <w:tblPr>
        <w:tblW w:w="1011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110"/>
      </w:tblGrid>
      <w:tr w:rsidR="00DF4DCD" w:rsidRPr="00BA4A59" w14:paraId="668AD3B9" w14:textId="77777777" w:rsidTr="00517737">
        <w:trPr>
          <w:trHeight w:val="300"/>
          <w:tblCellSpacing w:w="20" w:type="dxa"/>
        </w:trPr>
        <w:tc>
          <w:tcPr>
            <w:tcW w:w="9623" w:type="dxa"/>
            <w:shd w:val="clear" w:color="auto" w:fill="auto"/>
            <w:vAlign w:val="center"/>
          </w:tcPr>
          <w:p w14:paraId="5FEFFA6E" w14:textId="77777777" w:rsidR="00DF4DCD" w:rsidRDefault="00DF4DCD" w:rsidP="0047370C">
            <w:pPr>
              <w:spacing w:after="0" w:line="240" w:lineRule="auto"/>
              <w:jc w:val="both"/>
              <w:rPr>
                <w:rFonts w:eastAsia="Times New Roman"/>
                <w:b/>
                <w:color w:val="000000"/>
                <w:lang w:eastAsia="es-MX"/>
              </w:rPr>
            </w:pPr>
            <w:r w:rsidRPr="00BA4A59">
              <w:rPr>
                <w:rFonts w:eastAsia="Times New Roman"/>
                <w:b/>
                <w:color w:val="000000"/>
                <w:lang w:eastAsia="es-MX"/>
              </w:rPr>
              <w:t>Descripción de las Técnicas y Modelos Utilizados:</w:t>
            </w:r>
          </w:p>
          <w:p w14:paraId="6BFD113A" w14:textId="14672FBF" w:rsidR="00DF4DCD" w:rsidRPr="00BA4A59" w:rsidRDefault="00DF4DCD" w:rsidP="0047370C">
            <w:pPr>
              <w:spacing w:after="0" w:line="240" w:lineRule="auto"/>
              <w:jc w:val="both"/>
              <w:rPr>
                <w:rFonts w:eastAsia="Times New Roman"/>
                <w:b/>
                <w:color w:val="FFFFFF"/>
                <w:lang w:eastAsia="es-MX"/>
              </w:rPr>
            </w:pPr>
            <w:r w:rsidRPr="00537028">
              <w:rPr>
                <w:rFonts w:eastAsia="Times New Roman"/>
                <w:bCs/>
                <w:color w:val="000000"/>
                <w:lang w:eastAsia="es-MX"/>
              </w:rPr>
              <w:t>Los Lineamientos son el documento normativo que establece las especificaciones técnicas, objeto y estructura de cómo ejecutar la evaluación de los objetivos, metas y ejercicio de los recursos del financiamiento conjunto, que se deberá observar para la Evaluación de los Programas con Prioridad Nacional (PPN) y subprogramas establecidos en el Anexo Técnico del Convenio de Coordinación en materia de Seguridad Pública 2019.</w:t>
            </w:r>
          </w:p>
        </w:tc>
      </w:tr>
      <w:tr w:rsidR="00690BCC" w:rsidRPr="00BA4A59" w14:paraId="736D100E" w14:textId="77777777" w:rsidTr="00517737">
        <w:trPr>
          <w:trHeight w:val="300"/>
          <w:tblCellSpacing w:w="20" w:type="dxa"/>
        </w:trPr>
        <w:tc>
          <w:tcPr>
            <w:tcW w:w="9623" w:type="dxa"/>
            <w:shd w:val="clear" w:color="000000" w:fill="8B1D31"/>
            <w:vAlign w:val="center"/>
            <w:hideMark/>
          </w:tcPr>
          <w:p w14:paraId="5FEF1E5F"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2. Principales Hallazgos de la Evaluación</w:t>
            </w:r>
          </w:p>
        </w:tc>
      </w:tr>
      <w:tr w:rsidR="00690BCC" w:rsidRPr="00E1388F" w14:paraId="560BBE8E" w14:textId="77777777" w:rsidTr="00517737">
        <w:trPr>
          <w:trHeight w:val="465"/>
          <w:tblCellSpacing w:w="20" w:type="dxa"/>
        </w:trPr>
        <w:tc>
          <w:tcPr>
            <w:tcW w:w="9623" w:type="dxa"/>
            <w:shd w:val="clear" w:color="000000" w:fill="FFFFFF"/>
            <w:hideMark/>
          </w:tcPr>
          <w:p w14:paraId="34D5F989" w14:textId="77777777" w:rsidR="002C7030" w:rsidRDefault="00E1388F" w:rsidP="0047370C">
            <w:pPr>
              <w:spacing w:after="0" w:line="240" w:lineRule="auto"/>
              <w:jc w:val="both"/>
              <w:rPr>
                <w:rFonts w:eastAsia="Times New Roman"/>
                <w:color w:val="000000"/>
                <w:lang w:eastAsia="es-MX"/>
              </w:rPr>
            </w:pPr>
            <w:r w:rsidRPr="00BA4A59">
              <w:rPr>
                <w:rFonts w:eastAsia="Times New Roman"/>
                <w:b/>
                <w:color w:val="000000"/>
                <w:lang w:eastAsia="es-MX"/>
              </w:rPr>
              <w:t>2.1 Describir</w:t>
            </w:r>
            <w:r w:rsidR="00690BCC" w:rsidRPr="00BA4A59">
              <w:rPr>
                <w:rFonts w:eastAsia="Times New Roman"/>
                <w:b/>
                <w:color w:val="000000"/>
                <w:lang w:eastAsia="es-MX"/>
              </w:rPr>
              <w:t xml:space="preserve"> los Hallazgos más Relevantes d</w:t>
            </w:r>
            <w:r w:rsidRPr="00BA4A59">
              <w:rPr>
                <w:rFonts w:eastAsia="Times New Roman"/>
                <w:b/>
                <w:color w:val="000000"/>
                <w:lang w:eastAsia="es-MX"/>
              </w:rPr>
              <w:t>e</w:t>
            </w:r>
            <w:r w:rsidR="00690BCC" w:rsidRPr="00BA4A59">
              <w:rPr>
                <w:rFonts w:eastAsia="Times New Roman"/>
                <w:b/>
                <w:color w:val="000000"/>
                <w:lang w:eastAsia="es-MX"/>
              </w:rPr>
              <w:t xml:space="preserve"> </w:t>
            </w:r>
            <w:r w:rsidRPr="00BA4A59">
              <w:rPr>
                <w:rFonts w:eastAsia="Times New Roman"/>
                <w:b/>
                <w:color w:val="000000"/>
                <w:lang w:eastAsia="es-MX"/>
              </w:rPr>
              <w:t>la Evaluación:</w:t>
            </w:r>
            <w:r w:rsidR="00BF25EA">
              <w:rPr>
                <w:rFonts w:eastAsia="Times New Roman"/>
                <w:color w:val="000000"/>
                <w:lang w:eastAsia="es-MX"/>
              </w:rPr>
              <w:t xml:space="preserve"> </w:t>
            </w:r>
          </w:p>
          <w:p w14:paraId="4D59E8F2" w14:textId="0FD2CCB9" w:rsidR="00D37BFC" w:rsidRPr="005763DF" w:rsidRDefault="00D37BFC" w:rsidP="0047370C">
            <w:pPr>
              <w:spacing w:after="0" w:line="240" w:lineRule="auto"/>
              <w:jc w:val="both"/>
              <w:rPr>
                <w:rFonts w:eastAsia="Times New Roman"/>
                <w:color w:val="000000"/>
                <w:lang w:val="es-ES" w:eastAsia="es-MX"/>
              </w:rPr>
            </w:pPr>
            <w:r w:rsidRPr="005763DF">
              <w:rPr>
                <w:rFonts w:eastAsia="Times New Roman"/>
                <w:color w:val="000000"/>
                <w:lang w:val="es-ES" w:eastAsia="es-MX"/>
              </w:rPr>
              <w:t>Algunos elementos que nos amplían la valoración y advierten de la complejidad de la problemática prevaleciente en las Instituciones de Seguridad Pública los tenemos a partir de la información que generó la Encuesta Institucional para la evaluación del FASP 2019. El estudio consideró como premisa avanzar en la explicación de las capacidades institucionales y los comportamientos organizacionales que determinan el nivel de cumplimiento de su función.</w:t>
            </w:r>
          </w:p>
          <w:p w14:paraId="294E390E" w14:textId="77777777" w:rsidR="005763DF" w:rsidRPr="00517737" w:rsidRDefault="005763DF" w:rsidP="0047370C">
            <w:pPr>
              <w:spacing w:after="0" w:line="240" w:lineRule="auto"/>
              <w:jc w:val="both"/>
              <w:rPr>
                <w:rFonts w:eastAsia="Times New Roman"/>
                <w:color w:val="000000"/>
                <w:sz w:val="12"/>
                <w:szCs w:val="12"/>
                <w:lang w:val="es-ES" w:eastAsia="es-MX"/>
              </w:rPr>
            </w:pPr>
          </w:p>
          <w:p w14:paraId="23757D5F" w14:textId="77777777" w:rsidR="00D37BFC" w:rsidRPr="005763DF" w:rsidRDefault="00D37BFC" w:rsidP="0047370C">
            <w:pPr>
              <w:spacing w:after="0" w:line="240" w:lineRule="auto"/>
              <w:jc w:val="both"/>
              <w:rPr>
                <w:rFonts w:eastAsia="Times New Roman"/>
                <w:color w:val="000000"/>
                <w:lang w:val="es-ES" w:eastAsia="es-MX"/>
              </w:rPr>
            </w:pPr>
            <w:r w:rsidRPr="005763DF">
              <w:rPr>
                <w:rFonts w:eastAsia="Times New Roman"/>
                <w:color w:val="000000"/>
                <w:lang w:val="es-ES" w:eastAsia="es-MX"/>
              </w:rPr>
              <w:t>Nivel de ingresos relativamente competitivos e inequidad entre corporaciones. Basado en el promedio del salario bruto mensual, el cual se ubica entre los $11,2001 a $16,000.00. El 48.23% del total de los entrevistados se ubica en este nivel de ingresos. 30.67% gana menos de $11, 200.00; y 21.10% más de $16,000.00 mensuales.</w:t>
            </w:r>
          </w:p>
          <w:p w14:paraId="38EF8CBA" w14:textId="77777777" w:rsidR="005763DF" w:rsidRPr="00517737" w:rsidRDefault="005763DF" w:rsidP="0047370C">
            <w:pPr>
              <w:spacing w:after="0" w:line="240" w:lineRule="auto"/>
              <w:jc w:val="both"/>
              <w:rPr>
                <w:rFonts w:eastAsia="Times New Roman"/>
                <w:color w:val="000000"/>
                <w:sz w:val="12"/>
                <w:szCs w:val="12"/>
                <w:lang w:val="es-ES" w:eastAsia="es-MX"/>
              </w:rPr>
            </w:pPr>
          </w:p>
          <w:p w14:paraId="21EA411E" w14:textId="2766DE01" w:rsidR="00F46C22" w:rsidRDefault="00D37BFC" w:rsidP="0047370C">
            <w:pPr>
              <w:spacing w:after="0" w:line="240" w:lineRule="auto"/>
              <w:jc w:val="both"/>
              <w:rPr>
                <w:rFonts w:eastAsia="Times New Roman"/>
                <w:color w:val="000000"/>
                <w:lang w:val="es-ES" w:eastAsia="es-MX"/>
              </w:rPr>
            </w:pPr>
            <w:r w:rsidRPr="005763DF">
              <w:rPr>
                <w:rFonts w:eastAsia="Times New Roman"/>
                <w:color w:val="000000"/>
                <w:lang w:val="es-ES" w:eastAsia="es-MX"/>
              </w:rPr>
              <w:t>Prestaciones Insuficientes. Para mantener atractiva la opción profesional de la actividad policial se requiere no solamente salarios competitivos, sino también prestaciones sociales que incentiven la profesión, como becas para los hijos, servicios psicológicos, apoyos educativos, fondos de ahorro, créditos para vivienda, apoyo económico a viudas, seguro de gastos médicos mayores, guardería, entre otros.</w:t>
            </w:r>
          </w:p>
          <w:p w14:paraId="305F938C" w14:textId="5DAC2AC3" w:rsidR="0047370C" w:rsidRPr="00517737" w:rsidRDefault="0047370C" w:rsidP="0047370C">
            <w:pPr>
              <w:spacing w:after="0" w:line="240" w:lineRule="auto"/>
              <w:jc w:val="both"/>
              <w:rPr>
                <w:rFonts w:eastAsia="Times New Roman"/>
                <w:color w:val="000000"/>
                <w:sz w:val="12"/>
                <w:szCs w:val="12"/>
                <w:lang w:val="es-ES" w:eastAsia="es-MX"/>
              </w:rPr>
            </w:pPr>
          </w:p>
          <w:p w14:paraId="4031EADC" w14:textId="22087191" w:rsidR="008B0E9B" w:rsidRPr="00E1388F" w:rsidRDefault="0047370C" w:rsidP="0047370C">
            <w:pPr>
              <w:spacing w:after="0" w:line="240" w:lineRule="auto"/>
              <w:jc w:val="both"/>
              <w:rPr>
                <w:rFonts w:eastAsia="Times New Roman"/>
                <w:color w:val="000000"/>
                <w:lang w:eastAsia="es-MX"/>
              </w:rPr>
            </w:pPr>
            <w:r>
              <w:rPr>
                <w:rFonts w:eastAsia="Times New Roman"/>
                <w:color w:val="000000"/>
                <w:lang w:val="es-ES" w:eastAsia="es-MX"/>
              </w:rPr>
              <w:t>Insuficiente capacitación. Para un personal esencialmente joven y con poca antigüedad en el servicio, parece insuficiente la capacitación medida por el número de cursos en el año, de 1 a 3, y que fue recibida por el 69.6% del total del personal. Además, el 21.3% no ha recibido capacitación desde su ingreso a la corporación</w:t>
            </w:r>
            <w:r w:rsidR="008B0E9B" w:rsidRPr="005763DF">
              <w:rPr>
                <w:rFonts w:asciiTheme="minorHAnsi" w:eastAsiaTheme="minorEastAsia" w:hAnsiTheme="minorHAnsi" w:cs="Arial"/>
                <w:lang w:val="es-ES"/>
              </w:rPr>
              <w:t>.</w:t>
            </w:r>
          </w:p>
        </w:tc>
      </w:tr>
      <w:tr w:rsidR="00690BCC" w:rsidRPr="00E1388F" w14:paraId="061AB8ED" w14:textId="77777777" w:rsidTr="00517737">
        <w:trPr>
          <w:trHeight w:val="379"/>
          <w:tblCellSpacing w:w="20" w:type="dxa"/>
        </w:trPr>
        <w:tc>
          <w:tcPr>
            <w:tcW w:w="9623" w:type="dxa"/>
            <w:shd w:val="clear" w:color="auto" w:fill="D9D9D9" w:themeFill="background1" w:themeFillShade="D9"/>
            <w:hideMark/>
          </w:tcPr>
          <w:p w14:paraId="1B9A361D" w14:textId="77777777" w:rsidR="00E1388F" w:rsidRPr="00BA4A59" w:rsidRDefault="00E1388F" w:rsidP="00517737">
            <w:pPr>
              <w:spacing w:after="0" w:line="240" w:lineRule="auto"/>
              <w:jc w:val="both"/>
              <w:rPr>
                <w:rFonts w:eastAsia="Times New Roman"/>
                <w:b/>
                <w:color w:val="000000"/>
                <w:lang w:eastAsia="es-MX"/>
              </w:rPr>
            </w:pPr>
            <w:r w:rsidRPr="00BA4A59">
              <w:rPr>
                <w:rFonts w:eastAsia="Times New Roman"/>
                <w:b/>
                <w:color w:val="000000"/>
                <w:lang w:eastAsia="es-MX"/>
              </w:rPr>
              <w:t xml:space="preserve">2.2 Señalar </w:t>
            </w:r>
            <w:r w:rsidR="000A0543" w:rsidRPr="00BA4A59">
              <w:rPr>
                <w:rFonts w:eastAsia="Times New Roman"/>
                <w:b/>
                <w:color w:val="000000"/>
                <w:lang w:eastAsia="es-MX"/>
              </w:rPr>
              <w:t>cu</w:t>
            </w:r>
            <w:r w:rsidR="00690BCC" w:rsidRPr="00BA4A59">
              <w:rPr>
                <w:rFonts w:eastAsia="Times New Roman"/>
                <w:b/>
                <w:color w:val="000000"/>
                <w:lang w:eastAsia="es-MX"/>
              </w:rPr>
              <w:t>áles</w:t>
            </w:r>
            <w:r w:rsidRPr="00BA4A59">
              <w:rPr>
                <w:rFonts w:eastAsia="Times New Roman"/>
                <w:b/>
                <w:color w:val="000000"/>
                <w:lang w:eastAsia="es-MX"/>
              </w:rPr>
              <w:t xml:space="preserve"> son las </w:t>
            </w:r>
            <w:r w:rsidR="00BA4A59" w:rsidRPr="00BA4A59">
              <w:rPr>
                <w:rFonts w:eastAsia="Times New Roman"/>
                <w:b/>
                <w:color w:val="000000"/>
                <w:lang w:eastAsia="es-MX"/>
              </w:rPr>
              <w:t>p</w:t>
            </w:r>
            <w:r w:rsidRPr="00BA4A59">
              <w:rPr>
                <w:rFonts w:eastAsia="Times New Roman"/>
                <w:b/>
                <w:color w:val="000000"/>
                <w:lang w:eastAsia="es-MX"/>
              </w:rPr>
              <w:t xml:space="preserve">rincipales Fortalezas, Oportunidades, Debilidades y Amenazas (FODA), de Acuerdo con los temas del </w:t>
            </w:r>
            <w:r w:rsidR="00BA4A59" w:rsidRPr="00BA4A59">
              <w:rPr>
                <w:rFonts w:eastAsia="Times New Roman"/>
                <w:b/>
                <w:color w:val="000000"/>
                <w:lang w:eastAsia="es-MX"/>
              </w:rPr>
              <w:t>p</w:t>
            </w:r>
            <w:r w:rsidRPr="00BA4A59">
              <w:rPr>
                <w:rFonts w:eastAsia="Times New Roman"/>
                <w:b/>
                <w:color w:val="000000"/>
                <w:lang w:eastAsia="es-MX"/>
              </w:rPr>
              <w:t xml:space="preserve">rograma, </w:t>
            </w:r>
            <w:r w:rsidR="00BA4A59" w:rsidRPr="00BA4A59">
              <w:rPr>
                <w:rFonts w:eastAsia="Times New Roman"/>
                <w:b/>
                <w:color w:val="000000"/>
                <w:lang w:eastAsia="es-MX"/>
              </w:rPr>
              <w:t>e</w:t>
            </w:r>
            <w:r w:rsidRPr="00BA4A59">
              <w:rPr>
                <w:rFonts w:eastAsia="Times New Roman"/>
                <w:b/>
                <w:color w:val="000000"/>
                <w:lang w:eastAsia="es-MX"/>
              </w:rPr>
              <w:t xml:space="preserve">strategia o </w:t>
            </w:r>
            <w:r w:rsidR="00BA4A59" w:rsidRPr="00BA4A59">
              <w:rPr>
                <w:rFonts w:eastAsia="Times New Roman"/>
                <w:b/>
                <w:color w:val="000000"/>
                <w:lang w:eastAsia="es-MX"/>
              </w:rPr>
              <w:t>i</w:t>
            </w:r>
            <w:r w:rsidRPr="00BA4A59">
              <w:rPr>
                <w:rFonts w:eastAsia="Times New Roman"/>
                <w:b/>
                <w:color w:val="000000"/>
                <w:lang w:eastAsia="es-MX"/>
              </w:rPr>
              <w:t>nstituciones.</w:t>
            </w:r>
          </w:p>
        </w:tc>
      </w:tr>
      <w:tr w:rsidR="000A0543" w:rsidRPr="00E1388F" w14:paraId="4186DB2B" w14:textId="77777777" w:rsidTr="00517737">
        <w:trPr>
          <w:trHeight w:val="507"/>
          <w:tblCellSpacing w:w="20" w:type="dxa"/>
        </w:trPr>
        <w:tc>
          <w:tcPr>
            <w:tcW w:w="9623" w:type="dxa"/>
            <w:shd w:val="clear" w:color="000000" w:fill="FFFFFF"/>
            <w:hideMark/>
          </w:tcPr>
          <w:p w14:paraId="4A350D07" w14:textId="77777777" w:rsidR="00F46C22" w:rsidRDefault="000A0543" w:rsidP="000A0543">
            <w:pPr>
              <w:spacing w:after="0" w:line="240" w:lineRule="auto"/>
              <w:rPr>
                <w:rFonts w:eastAsia="Times New Roman"/>
                <w:b/>
                <w:color w:val="000000"/>
                <w:lang w:eastAsia="es-MX"/>
              </w:rPr>
            </w:pPr>
            <w:r w:rsidRPr="00BA4A59">
              <w:rPr>
                <w:rFonts w:eastAsia="Times New Roman"/>
                <w:b/>
                <w:color w:val="000000"/>
                <w:lang w:eastAsia="es-MX"/>
              </w:rPr>
              <w:t xml:space="preserve">2.2.1 Fortalezas: </w:t>
            </w:r>
          </w:p>
          <w:p w14:paraId="31707009" w14:textId="3577E638" w:rsidR="000A0543" w:rsidRPr="00E1388F" w:rsidRDefault="006248E1" w:rsidP="00537028">
            <w:pPr>
              <w:spacing w:after="0" w:line="240" w:lineRule="auto"/>
              <w:jc w:val="both"/>
              <w:rPr>
                <w:rFonts w:eastAsia="Times New Roman"/>
                <w:color w:val="000000"/>
                <w:lang w:eastAsia="es-MX"/>
              </w:rPr>
            </w:pPr>
            <w:r w:rsidRPr="006248E1">
              <w:rPr>
                <w:rFonts w:eastAsia="Times New Roman"/>
                <w:color w:val="000000"/>
                <w:lang w:val="es-ES" w:eastAsia="es-MX"/>
              </w:rPr>
              <w:t>El Sistema de Seguridad Pública Estatal, cuenta con buena coordinación institucional entre los tres órdenes de gobierno, lo que le permite funcionar ininterrumpidamente en todo el estado, permitiendo que se acceda a los servicios que brinda de manera oportuna.</w:t>
            </w:r>
          </w:p>
        </w:tc>
      </w:tr>
      <w:tr w:rsidR="000A0543" w:rsidRPr="00E1388F" w14:paraId="21B855BB" w14:textId="77777777" w:rsidTr="00517737">
        <w:trPr>
          <w:trHeight w:val="555"/>
          <w:tblCellSpacing w:w="20" w:type="dxa"/>
        </w:trPr>
        <w:tc>
          <w:tcPr>
            <w:tcW w:w="9623" w:type="dxa"/>
            <w:shd w:val="clear" w:color="000000" w:fill="FFFFFF"/>
          </w:tcPr>
          <w:p w14:paraId="6D92C88D" w14:textId="77777777" w:rsidR="000A0543" w:rsidRDefault="000A0543" w:rsidP="00F46C22">
            <w:pPr>
              <w:spacing w:after="0" w:line="240" w:lineRule="auto"/>
              <w:rPr>
                <w:rFonts w:eastAsia="Times New Roman"/>
                <w:color w:val="000000"/>
                <w:lang w:eastAsia="es-MX"/>
              </w:rPr>
            </w:pPr>
            <w:r w:rsidRPr="00BA4A59">
              <w:rPr>
                <w:rFonts w:eastAsia="Times New Roman"/>
                <w:b/>
                <w:color w:val="000000"/>
                <w:lang w:eastAsia="es-MX"/>
              </w:rPr>
              <w:t xml:space="preserve">2.2.2 Oportunidades: </w:t>
            </w:r>
          </w:p>
          <w:p w14:paraId="3324B173" w14:textId="115C5DD3" w:rsidR="00F46C22" w:rsidRPr="00E1388F" w:rsidRDefault="006248E1" w:rsidP="00537028">
            <w:pPr>
              <w:spacing w:after="0" w:line="240" w:lineRule="auto"/>
              <w:jc w:val="both"/>
              <w:rPr>
                <w:rFonts w:eastAsia="Times New Roman"/>
                <w:color w:val="000000"/>
                <w:lang w:eastAsia="es-MX"/>
              </w:rPr>
            </w:pPr>
            <w:r w:rsidRPr="006248E1">
              <w:rPr>
                <w:rFonts w:eastAsia="Times New Roman"/>
                <w:color w:val="000000"/>
                <w:lang w:val="es-ES" w:eastAsia="es-MX"/>
              </w:rPr>
              <w:t>El surgimiento de nuevas tecnologías en telecomunicaciones, que permitan mejorar las funciones o desempeño de las Instituciones de Seguridad Pública.</w:t>
            </w:r>
          </w:p>
        </w:tc>
      </w:tr>
      <w:tr w:rsidR="000A0543" w:rsidRPr="00E1388F" w14:paraId="04C6B5D0" w14:textId="77777777" w:rsidTr="00517737">
        <w:trPr>
          <w:trHeight w:val="555"/>
          <w:tblCellSpacing w:w="20" w:type="dxa"/>
        </w:trPr>
        <w:tc>
          <w:tcPr>
            <w:tcW w:w="9623" w:type="dxa"/>
            <w:shd w:val="clear" w:color="000000" w:fill="FFFFFF"/>
          </w:tcPr>
          <w:p w14:paraId="37BDAF51" w14:textId="77777777" w:rsidR="000A0543" w:rsidRDefault="000A0543" w:rsidP="00F46C22">
            <w:pPr>
              <w:spacing w:after="0" w:line="240" w:lineRule="auto"/>
              <w:rPr>
                <w:rFonts w:eastAsia="Times New Roman"/>
                <w:color w:val="000000"/>
                <w:lang w:eastAsia="es-MX"/>
              </w:rPr>
            </w:pPr>
            <w:r w:rsidRPr="00BA4A59">
              <w:rPr>
                <w:rFonts w:eastAsia="Times New Roman"/>
                <w:b/>
                <w:color w:val="000000"/>
                <w:lang w:eastAsia="es-MX"/>
              </w:rPr>
              <w:t>2.2.3 Debilidades:</w:t>
            </w:r>
            <w:r>
              <w:rPr>
                <w:rFonts w:eastAsia="Times New Roman"/>
                <w:color w:val="000000"/>
                <w:lang w:eastAsia="es-MX"/>
              </w:rPr>
              <w:t xml:space="preserve"> </w:t>
            </w:r>
          </w:p>
          <w:p w14:paraId="02FB7BBD" w14:textId="1F882DA3" w:rsidR="00F46C22" w:rsidRPr="00E1388F" w:rsidRDefault="006248E1" w:rsidP="00537028">
            <w:pPr>
              <w:spacing w:after="0" w:line="240" w:lineRule="auto"/>
              <w:rPr>
                <w:rFonts w:eastAsia="Times New Roman"/>
                <w:color w:val="000000"/>
                <w:lang w:eastAsia="es-MX"/>
              </w:rPr>
            </w:pPr>
            <w:r w:rsidRPr="006248E1">
              <w:rPr>
                <w:rFonts w:eastAsia="Times New Roman"/>
                <w:color w:val="000000"/>
                <w:lang w:val="es-ES" w:eastAsia="es-MX"/>
              </w:rPr>
              <w:t>Un Estado de Fuerza insuficiente en proporción a la población del estado de Sinaloa.</w:t>
            </w:r>
          </w:p>
        </w:tc>
      </w:tr>
      <w:tr w:rsidR="000A0543" w:rsidRPr="00E1388F" w14:paraId="639DF2D6" w14:textId="77777777" w:rsidTr="00517737">
        <w:trPr>
          <w:trHeight w:val="660"/>
          <w:tblCellSpacing w:w="20" w:type="dxa"/>
        </w:trPr>
        <w:tc>
          <w:tcPr>
            <w:tcW w:w="9623" w:type="dxa"/>
            <w:shd w:val="clear" w:color="000000" w:fill="FFFFFF"/>
            <w:hideMark/>
          </w:tcPr>
          <w:p w14:paraId="2E61DC73" w14:textId="77777777" w:rsidR="00537028" w:rsidRDefault="000A0543" w:rsidP="00537028">
            <w:pPr>
              <w:spacing w:after="0" w:line="240" w:lineRule="auto"/>
              <w:rPr>
                <w:rFonts w:eastAsia="Times New Roman"/>
                <w:b/>
                <w:color w:val="000000"/>
                <w:lang w:eastAsia="es-MX"/>
              </w:rPr>
            </w:pPr>
            <w:r w:rsidRPr="00BA4A59">
              <w:rPr>
                <w:rFonts w:eastAsia="Times New Roman"/>
                <w:b/>
                <w:color w:val="000000"/>
                <w:lang w:eastAsia="es-MX"/>
              </w:rPr>
              <w:t>2.2.4 Amenazas:</w:t>
            </w:r>
          </w:p>
          <w:p w14:paraId="3C8C0B65" w14:textId="132C87C9" w:rsidR="000A0543" w:rsidRPr="00E1388F" w:rsidRDefault="006248E1" w:rsidP="00FB1337">
            <w:pPr>
              <w:spacing w:after="0" w:line="240" w:lineRule="auto"/>
              <w:jc w:val="both"/>
              <w:rPr>
                <w:rFonts w:eastAsia="Times New Roman"/>
                <w:color w:val="000000"/>
                <w:lang w:eastAsia="es-MX"/>
              </w:rPr>
            </w:pPr>
            <w:r w:rsidRPr="006248E1">
              <w:rPr>
                <w:rFonts w:eastAsia="Times New Roman"/>
                <w:color w:val="000000"/>
                <w:lang w:val="es-ES" w:eastAsia="es-MX"/>
              </w:rPr>
              <w:t>Insuficiencia presupuestaria debido a los recortes en las partidas que asigna la Federación para programas y funcionamiento de las Instituciones de Seguridad Pública.</w:t>
            </w:r>
          </w:p>
        </w:tc>
      </w:tr>
    </w:tbl>
    <w:p w14:paraId="3D79F115" w14:textId="77777777" w:rsidR="00EC63B6" w:rsidRDefault="00EC63B6" w:rsidP="002272AA">
      <w:pPr>
        <w:spacing w:after="0"/>
      </w:pPr>
    </w:p>
    <w:tbl>
      <w:tblPr>
        <w:tblW w:w="101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158"/>
      </w:tblGrid>
      <w:tr w:rsidR="00690BCC" w:rsidRPr="00E1388F" w14:paraId="67490DBC" w14:textId="77777777" w:rsidTr="0047370C">
        <w:trPr>
          <w:trHeight w:val="300"/>
          <w:tblCellSpacing w:w="20" w:type="dxa"/>
        </w:trPr>
        <w:tc>
          <w:tcPr>
            <w:tcW w:w="10048" w:type="dxa"/>
            <w:shd w:val="clear" w:color="000000" w:fill="8B1D31"/>
            <w:noWrap/>
            <w:vAlign w:val="center"/>
            <w:hideMark/>
          </w:tcPr>
          <w:p w14:paraId="0A227757"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3. Conclusiones y Recomendaciones de la Evaluación</w:t>
            </w:r>
          </w:p>
        </w:tc>
      </w:tr>
      <w:tr w:rsidR="00690BCC" w:rsidRPr="00E1388F" w14:paraId="1D5D6831" w14:textId="77777777" w:rsidTr="0047370C">
        <w:trPr>
          <w:trHeight w:val="405"/>
          <w:tblCellSpacing w:w="20" w:type="dxa"/>
        </w:trPr>
        <w:tc>
          <w:tcPr>
            <w:tcW w:w="10048" w:type="dxa"/>
            <w:shd w:val="clear" w:color="000000" w:fill="FFFFFF"/>
            <w:noWrap/>
            <w:hideMark/>
          </w:tcPr>
          <w:p w14:paraId="78A0C9EC" w14:textId="77777777" w:rsidR="00E1388F" w:rsidRDefault="00E1388F" w:rsidP="00FB1337">
            <w:pPr>
              <w:spacing w:after="0" w:line="240" w:lineRule="auto"/>
              <w:jc w:val="both"/>
              <w:rPr>
                <w:rFonts w:eastAsia="Times New Roman"/>
                <w:color w:val="000000"/>
                <w:lang w:eastAsia="es-MX"/>
              </w:rPr>
            </w:pPr>
            <w:r w:rsidRPr="00E1388F">
              <w:rPr>
                <w:rFonts w:eastAsia="Times New Roman"/>
                <w:color w:val="000000"/>
                <w:lang w:eastAsia="es-MX"/>
              </w:rPr>
              <w:t xml:space="preserve">3.1 Describir </w:t>
            </w:r>
            <w:r w:rsidR="00BA4A59">
              <w:rPr>
                <w:rFonts w:eastAsia="Times New Roman"/>
                <w:color w:val="000000"/>
                <w:lang w:eastAsia="es-MX"/>
              </w:rPr>
              <w:t>b</w:t>
            </w:r>
            <w:r w:rsidRPr="00E1388F">
              <w:rPr>
                <w:rFonts w:eastAsia="Times New Roman"/>
                <w:color w:val="000000"/>
                <w:lang w:eastAsia="es-MX"/>
              </w:rPr>
              <w:t xml:space="preserve">revemente las </w:t>
            </w:r>
            <w:r w:rsidR="00BA4A59">
              <w:rPr>
                <w:rFonts w:eastAsia="Times New Roman"/>
                <w:color w:val="000000"/>
                <w:lang w:eastAsia="es-MX"/>
              </w:rPr>
              <w:t>c</w:t>
            </w:r>
            <w:r w:rsidRPr="00E1388F">
              <w:rPr>
                <w:rFonts w:eastAsia="Times New Roman"/>
                <w:color w:val="000000"/>
                <w:lang w:eastAsia="es-MX"/>
              </w:rPr>
              <w:t xml:space="preserve">onclusiones de la </w:t>
            </w:r>
            <w:r w:rsidR="00BA4A59">
              <w:rPr>
                <w:rFonts w:eastAsia="Times New Roman"/>
                <w:color w:val="000000"/>
                <w:lang w:eastAsia="es-MX"/>
              </w:rPr>
              <w:t>e</w:t>
            </w:r>
            <w:r w:rsidRPr="00E1388F">
              <w:rPr>
                <w:rFonts w:eastAsia="Times New Roman"/>
                <w:color w:val="000000"/>
                <w:lang w:eastAsia="es-MX"/>
              </w:rPr>
              <w:t>valuación:</w:t>
            </w:r>
            <w:r w:rsidR="00BF25EA">
              <w:rPr>
                <w:rFonts w:eastAsia="Times New Roman"/>
                <w:color w:val="000000"/>
                <w:lang w:eastAsia="es-MX"/>
              </w:rPr>
              <w:t xml:space="preserve"> Agregar aspectos y acciones de mejora.</w:t>
            </w:r>
          </w:p>
          <w:p w14:paraId="1F6CD699" w14:textId="31ECD273" w:rsidR="00FB4704" w:rsidRPr="00FB4704" w:rsidRDefault="00FB4704" w:rsidP="00FB1337">
            <w:pPr>
              <w:spacing w:after="0" w:line="240" w:lineRule="auto"/>
              <w:jc w:val="both"/>
              <w:rPr>
                <w:rFonts w:eastAsia="Times New Roman"/>
                <w:color w:val="000000"/>
                <w:lang w:eastAsia="es-MX"/>
              </w:rPr>
            </w:pPr>
            <w:r>
              <w:rPr>
                <w:rFonts w:eastAsia="Times New Roman"/>
                <w:color w:val="000000"/>
                <w:lang w:eastAsia="es-MX"/>
              </w:rPr>
              <w:t>E</w:t>
            </w:r>
            <w:r w:rsidRPr="00FB4704">
              <w:rPr>
                <w:rFonts w:eastAsia="Times New Roman"/>
                <w:color w:val="000000"/>
                <w:lang w:eastAsia="es-MX"/>
              </w:rPr>
              <w:t>l ejercicio de los recursos convenidos para el FASP presentó un grado de avance de un 67.37%, quedando pendientes por ejercer un 30.42%; sin embargo, es importante mencionar que el presupuesto ejercido no contempla lo referente a recursos comprometidos a la fecha de corte, aunque éstos propiamente ya están devengados.</w:t>
            </w:r>
          </w:p>
          <w:p w14:paraId="21E65C32" w14:textId="77777777" w:rsidR="00FB4704" w:rsidRDefault="00FB4704" w:rsidP="00FB1337">
            <w:pPr>
              <w:spacing w:after="0" w:line="240" w:lineRule="auto"/>
              <w:jc w:val="both"/>
              <w:rPr>
                <w:rFonts w:eastAsia="Times New Roman"/>
                <w:color w:val="000000"/>
                <w:lang w:eastAsia="es-MX"/>
              </w:rPr>
            </w:pPr>
          </w:p>
          <w:p w14:paraId="4F702C39" w14:textId="6552507B" w:rsidR="00F46C22" w:rsidRPr="00E1388F" w:rsidRDefault="00FB4704" w:rsidP="00FB1337">
            <w:pPr>
              <w:spacing w:after="0" w:line="240" w:lineRule="auto"/>
              <w:jc w:val="both"/>
              <w:rPr>
                <w:rFonts w:eastAsia="Times New Roman"/>
                <w:color w:val="000000"/>
                <w:lang w:eastAsia="es-MX"/>
              </w:rPr>
            </w:pPr>
            <w:r w:rsidRPr="00FB4704">
              <w:rPr>
                <w:rFonts w:eastAsia="Times New Roman"/>
                <w:color w:val="000000"/>
                <w:lang w:eastAsia="es-MX"/>
              </w:rPr>
              <w:t>Es importante hacer mención que los indicadores establecidos en la MIR presentaron un importante grado de avance, a pesar de que algunos de ellos no alcanzaron la meta establecida inicialmente.</w:t>
            </w:r>
          </w:p>
        </w:tc>
      </w:tr>
      <w:tr w:rsidR="00690BCC" w:rsidRPr="00E1388F" w14:paraId="08EEE7A6" w14:textId="77777777" w:rsidTr="0047370C">
        <w:trPr>
          <w:trHeight w:val="69"/>
          <w:tblCellSpacing w:w="20" w:type="dxa"/>
        </w:trPr>
        <w:tc>
          <w:tcPr>
            <w:tcW w:w="10048" w:type="dxa"/>
            <w:shd w:val="clear" w:color="auto" w:fill="D9D9D9" w:themeFill="background1" w:themeFillShade="D9"/>
            <w:noWrap/>
            <w:hideMark/>
          </w:tcPr>
          <w:p w14:paraId="2372DF58" w14:textId="77777777" w:rsidR="00E1388F" w:rsidRPr="002272AA" w:rsidRDefault="00E1388F" w:rsidP="00BA4A59">
            <w:pPr>
              <w:spacing w:after="0" w:line="240" w:lineRule="auto"/>
              <w:rPr>
                <w:rFonts w:eastAsia="Times New Roman"/>
                <w:b/>
                <w:color w:val="000000"/>
                <w:lang w:eastAsia="es-MX"/>
              </w:rPr>
            </w:pPr>
            <w:r w:rsidRPr="002272AA">
              <w:rPr>
                <w:rFonts w:eastAsia="Times New Roman"/>
                <w:b/>
                <w:color w:val="000000"/>
                <w:lang w:eastAsia="es-MX"/>
              </w:rPr>
              <w:t>3.</w:t>
            </w:r>
            <w:r w:rsidRPr="002272AA">
              <w:rPr>
                <w:rFonts w:eastAsia="Times New Roman"/>
                <w:b/>
                <w:color w:val="000000"/>
                <w:shd w:val="clear" w:color="auto" w:fill="D9D9D9" w:themeFill="background1" w:themeFillShade="D9"/>
                <w:lang w:eastAsia="es-MX"/>
              </w:rPr>
              <w:t xml:space="preserve">2 Describir las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 xml:space="preserve">ecomendaciones de </w:t>
            </w:r>
            <w:r w:rsidR="00BA4A59" w:rsidRPr="002272AA">
              <w:rPr>
                <w:rFonts w:eastAsia="Times New Roman"/>
                <w:b/>
                <w:color w:val="000000"/>
                <w:shd w:val="clear" w:color="auto" w:fill="D9D9D9" w:themeFill="background1" w:themeFillShade="D9"/>
                <w:lang w:eastAsia="es-MX"/>
              </w:rPr>
              <w:t>a</w:t>
            </w:r>
            <w:r w:rsidRPr="002272AA">
              <w:rPr>
                <w:rFonts w:eastAsia="Times New Roman"/>
                <w:b/>
                <w:color w:val="000000"/>
                <w:shd w:val="clear" w:color="auto" w:fill="D9D9D9" w:themeFill="background1" w:themeFillShade="D9"/>
                <w:lang w:eastAsia="es-MX"/>
              </w:rPr>
              <w:t xml:space="preserve">cuerdo a su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elevancia:</w:t>
            </w:r>
            <w:r w:rsidR="003E6E57" w:rsidRPr="002272AA">
              <w:rPr>
                <w:rFonts w:eastAsia="Times New Roman"/>
                <w:b/>
                <w:color w:val="000000"/>
                <w:lang w:eastAsia="es-MX"/>
              </w:rPr>
              <w:t xml:space="preserve">  Enlistarlas de acuerdo a su importancia</w:t>
            </w:r>
          </w:p>
        </w:tc>
      </w:tr>
      <w:tr w:rsidR="00690BCC" w:rsidRPr="00E1388F" w14:paraId="46FE44A2" w14:textId="77777777" w:rsidTr="0047370C">
        <w:trPr>
          <w:trHeight w:val="465"/>
          <w:tblCellSpacing w:w="20" w:type="dxa"/>
        </w:trPr>
        <w:tc>
          <w:tcPr>
            <w:tcW w:w="10048" w:type="dxa"/>
            <w:shd w:val="clear" w:color="000000" w:fill="FFFFFF"/>
            <w:noWrap/>
            <w:hideMark/>
          </w:tcPr>
          <w:p w14:paraId="43EDD2F0" w14:textId="77777777" w:rsidR="00B11A53" w:rsidRPr="00B11A53" w:rsidRDefault="00B11A53" w:rsidP="00FB1337">
            <w:pPr>
              <w:spacing w:after="0" w:line="240" w:lineRule="auto"/>
              <w:jc w:val="both"/>
              <w:rPr>
                <w:rFonts w:eastAsia="Times New Roman"/>
                <w:color w:val="000000"/>
                <w:lang w:val="es-ES" w:eastAsia="es-MX"/>
              </w:rPr>
            </w:pPr>
            <w:r w:rsidRPr="00B11A53">
              <w:rPr>
                <w:rFonts w:eastAsia="Times New Roman"/>
                <w:color w:val="000000"/>
                <w:lang w:val="es-ES" w:eastAsia="es-MX"/>
              </w:rPr>
              <w:t>Con apego a los ordenamientos legales y reglamentarios vigentes implementar el Servicio Profesional de Carrera Policial (SPCP) mediante la creación de los siguientes instrumentos: Diagnóstico, Comisión Estatal del SPCP, Manuales de Organización y de Procedimientos. Códigos de Conducta y Ética, Sistema informático para el seguimiento administrativo y de la Unidad Administrativa para la operación y seguimiento del SPCP.</w:t>
            </w:r>
          </w:p>
          <w:p w14:paraId="50397304" w14:textId="28A8975E" w:rsidR="00E1388F" w:rsidRPr="00E1388F" w:rsidRDefault="00E1388F" w:rsidP="00FB1337">
            <w:pPr>
              <w:spacing w:after="0" w:line="240" w:lineRule="auto"/>
              <w:jc w:val="both"/>
              <w:rPr>
                <w:rFonts w:eastAsia="Times New Roman"/>
                <w:color w:val="000000"/>
                <w:lang w:eastAsia="es-MX"/>
              </w:rPr>
            </w:pPr>
          </w:p>
        </w:tc>
      </w:tr>
      <w:tr w:rsidR="005763DF" w:rsidRPr="00E1388F" w14:paraId="61686A46" w14:textId="77777777" w:rsidTr="0047370C">
        <w:trPr>
          <w:trHeight w:val="465"/>
          <w:tblCellSpacing w:w="20" w:type="dxa"/>
        </w:trPr>
        <w:tc>
          <w:tcPr>
            <w:tcW w:w="10048" w:type="dxa"/>
            <w:shd w:val="clear" w:color="000000" w:fill="FFFFFF"/>
            <w:noWrap/>
          </w:tcPr>
          <w:p w14:paraId="7DC1D79E" w14:textId="77777777" w:rsidR="005763DF" w:rsidRPr="005763DF" w:rsidRDefault="005763DF" w:rsidP="00FB1337">
            <w:pPr>
              <w:spacing w:after="0" w:line="240" w:lineRule="auto"/>
              <w:jc w:val="both"/>
              <w:rPr>
                <w:rFonts w:eastAsia="Times New Roman"/>
                <w:color w:val="000000"/>
                <w:lang w:val="es-ES" w:eastAsia="es-MX"/>
              </w:rPr>
            </w:pPr>
            <w:r w:rsidRPr="005763DF">
              <w:rPr>
                <w:rFonts w:eastAsia="Times New Roman"/>
                <w:color w:val="000000"/>
                <w:lang w:val="es-ES" w:eastAsia="es-MX"/>
              </w:rPr>
              <w:t>Dotar al Centro de Mando C4i con el suficiente stock (inventario) en materia de telecomunicaciones y componentes del sistema para atender las afectaciones que se presenten en la infraestructura, ocasionadas por actos de vandalismo, incendios, cuestiones climatológicas, accidentes automovilísticos, entre otros.</w:t>
            </w:r>
          </w:p>
          <w:p w14:paraId="4320EE72" w14:textId="77777777" w:rsidR="005763DF" w:rsidRPr="00B11A53" w:rsidRDefault="005763DF" w:rsidP="00FB1337">
            <w:pPr>
              <w:spacing w:after="0" w:line="240" w:lineRule="auto"/>
              <w:jc w:val="both"/>
              <w:rPr>
                <w:rFonts w:eastAsia="Times New Roman"/>
                <w:color w:val="000000"/>
                <w:lang w:val="es-ES" w:eastAsia="es-MX"/>
              </w:rPr>
            </w:pPr>
          </w:p>
        </w:tc>
      </w:tr>
      <w:tr w:rsidR="00B11A53" w:rsidRPr="00E1388F" w14:paraId="21A4AE8F" w14:textId="77777777" w:rsidTr="0047370C">
        <w:trPr>
          <w:trHeight w:val="465"/>
          <w:tblCellSpacing w:w="20" w:type="dxa"/>
        </w:trPr>
        <w:tc>
          <w:tcPr>
            <w:tcW w:w="10048" w:type="dxa"/>
            <w:shd w:val="clear" w:color="000000" w:fill="FFFFFF"/>
            <w:noWrap/>
          </w:tcPr>
          <w:p w14:paraId="16856819" w14:textId="77777777" w:rsidR="00B11A53" w:rsidRDefault="00B11A53" w:rsidP="00173CDD">
            <w:pPr>
              <w:spacing w:after="0" w:line="240" w:lineRule="auto"/>
              <w:jc w:val="both"/>
              <w:rPr>
                <w:rFonts w:eastAsia="Times New Roman"/>
                <w:color w:val="000000"/>
                <w:lang w:val="es-ES" w:eastAsia="es-MX"/>
              </w:rPr>
            </w:pPr>
            <w:r w:rsidRPr="005763DF">
              <w:rPr>
                <w:rFonts w:eastAsia="Times New Roman"/>
                <w:color w:val="000000"/>
                <w:lang w:val="es-ES" w:eastAsia="es-MX"/>
              </w:rPr>
              <w:t>Dotación de equipo tecnológico al personal de supervisión de medidas cautelares para el adecuado desarrollo de su función.</w:t>
            </w:r>
          </w:p>
          <w:p w14:paraId="0AB0C0C4" w14:textId="77777777" w:rsidR="005763DF" w:rsidRPr="005763DF" w:rsidRDefault="005763DF" w:rsidP="00173CDD">
            <w:pPr>
              <w:spacing w:after="0" w:line="240" w:lineRule="auto"/>
              <w:jc w:val="both"/>
              <w:rPr>
                <w:rFonts w:eastAsia="Times New Roman"/>
                <w:color w:val="000000"/>
                <w:lang w:val="es-ES" w:eastAsia="es-MX"/>
              </w:rPr>
            </w:pPr>
          </w:p>
          <w:p w14:paraId="2809950B" w14:textId="77777777" w:rsidR="00B11A53" w:rsidRDefault="00B11A53" w:rsidP="00173CDD">
            <w:pPr>
              <w:spacing w:after="0" w:line="240" w:lineRule="auto"/>
              <w:jc w:val="both"/>
              <w:rPr>
                <w:rFonts w:eastAsia="Times New Roman"/>
                <w:color w:val="000000"/>
                <w:lang w:val="es-ES" w:eastAsia="es-MX"/>
              </w:rPr>
            </w:pPr>
            <w:r w:rsidRPr="005763DF">
              <w:rPr>
                <w:rFonts w:eastAsia="Times New Roman"/>
                <w:color w:val="000000"/>
                <w:lang w:val="es-ES" w:eastAsia="es-MX"/>
              </w:rPr>
              <w:t>Capacitación adecuada al personal que se vincula con los procesos del nuevo sistema de justicia penal, específicamente a policías de investigación, ministerios públicos, peritos, defensores de oficio, entre otros.</w:t>
            </w:r>
          </w:p>
          <w:p w14:paraId="39DFCB1D" w14:textId="77777777" w:rsidR="005763DF" w:rsidRPr="005763DF" w:rsidRDefault="005763DF" w:rsidP="00173CDD">
            <w:pPr>
              <w:spacing w:after="0" w:line="240" w:lineRule="auto"/>
              <w:jc w:val="both"/>
              <w:rPr>
                <w:rFonts w:eastAsia="Times New Roman"/>
                <w:color w:val="000000"/>
                <w:lang w:val="es-ES" w:eastAsia="es-MX"/>
              </w:rPr>
            </w:pPr>
          </w:p>
          <w:p w14:paraId="3F7F5534" w14:textId="77777777" w:rsidR="00B11A53" w:rsidRDefault="00B11A53" w:rsidP="00173CDD">
            <w:pPr>
              <w:spacing w:after="0" w:line="240" w:lineRule="auto"/>
              <w:jc w:val="both"/>
              <w:rPr>
                <w:rFonts w:eastAsia="Times New Roman"/>
                <w:color w:val="000000"/>
                <w:lang w:val="es-ES" w:eastAsia="es-MX"/>
              </w:rPr>
            </w:pPr>
            <w:r w:rsidRPr="005763DF">
              <w:rPr>
                <w:rFonts w:eastAsia="Times New Roman"/>
                <w:color w:val="000000"/>
                <w:lang w:val="es-ES" w:eastAsia="es-MX"/>
              </w:rPr>
              <w:t>Fortalecimiento de la infraestructura particularmente la construcción y equipamiento de salas de juicio oral.</w:t>
            </w:r>
          </w:p>
          <w:p w14:paraId="597FDBF2" w14:textId="77777777" w:rsidR="005763DF" w:rsidRPr="005763DF" w:rsidRDefault="005763DF" w:rsidP="00173CDD">
            <w:pPr>
              <w:spacing w:after="0" w:line="240" w:lineRule="auto"/>
              <w:jc w:val="both"/>
              <w:rPr>
                <w:rFonts w:eastAsia="Times New Roman"/>
                <w:color w:val="000000"/>
                <w:lang w:val="es-ES" w:eastAsia="es-MX"/>
              </w:rPr>
            </w:pPr>
          </w:p>
          <w:p w14:paraId="4BB7F1B7" w14:textId="77777777" w:rsidR="00B11A53" w:rsidRPr="005763DF" w:rsidRDefault="00B11A53" w:rsidP="00173CDD">
            <w:pPr>
              <w:spacing w:after="0" w:line="240" w:lineRule="auto"/>
              <w:jc w:val="both"/>
              <w:rPr>
                <w:rFonts w:eastAsia="Times New Roman"/>
                <w:color w:val="000000"/>
                <w:lang w:val="es-ES" w:eastAsia="es-MX"/>
              </w:rPr>
            </w:pPr>
            <w:r w:rsidRPr="005763DF">
              <w:rPr>
                <w:rFonts w:eastAsia="Times New Roman"/>
                <w:color w:val="000000"/>
                <w:lang w:val="es-ES" w:eastAsia="es-MX"/>
              </w:rPr>
              <w:t>Difundir los beneficios del nuevo sistema de justicia penal en un lenguaje y medios accesibles a la ciudadanía.</w:t>
            </w:r>
          </w:p>
          <w:p w14:paraId="32487B08" w14:textId="77777777" w:rsidR="00B11A53" w:rsidRPr="00B11A53" w:rsidRDefault="00B11A53" w:rsidP="00173CDD">
            <w:pPr>
              <w:spacing w:after="0" w:line="240" w:lineRule="auto"/>
              <w:jc w:val="both"/>
              <w:rPr>
                <w:rFonts w:eastAsia="Times New Roman"/>
                <w:color w:val="000000"/>
                <w:lang w:val="es-ES" w:eastAsia="es-MX"/>
              </w:rPr>
            </w:pPr>
          </w:p>
        </w:tc>
      </w:tr>
      <w:tr w:rsidR="00B11A53" w:rsidRPr="00E1388F" w14:paraId="3DE82115" w14:textId="77777777" w:rsidTr="0047370C">
        <w:trPr>
          <w:trHeight w:val="465"/>
          <w:tblCellSpacing w:w="20" w:type="dxa"/>
        </w:trPr>
        <w:tc>
          <w:tcPr>
            <w:tcW w:w="10048" w:type="dxa"/>
            <w:shd w:val="clear" w:color="000000" w:fill="FFFFFF"/>
            <w:noWrap/>
          </w:tcPr>
          <w:p w14:paraId="3F762BDE" w14:textId="1AD9601A" w:rsidR="00B11A53" w:rsidRPr="00B11A53" w:rsidRDefault="00B11A53" w:rsidP="00173CDD">
            <w:pPr>
              <w:spacing w:after="0" w:line="240" w:lineRule="auto"/>
              <w:jc w:val="both"/>
              <w:rPr>
                <w:rFonts w:eastAsia="Times New Roman"/>
                <w:color w:val="000000"/>
                <w:lang w:val="es-ES" w:eastAsia="es-MX"/>
              </w:rPr>
            </w:pPr>
            <w:r w:rsidRPr="00B11A53">
              <w:rPr>
                <w:rFonts w:eastAsia="Times New Roman"/>
                <w:color w:val="000000"/>
                <w:lang w:val="es-ES" w:eastAsia="es-MX"/>
              </w:rPr>
              <w:t xml:space="preserve">Remodelar las instalaciones del Centro de Internamiento para </w:t>
            </w:r>
            <w:r w:rsidR="00DF4DCD" w:rsidRPr="00B11A53">
              <w:rPr>
                <w:rFonts w:eastAsia="Times New Roman"/>
                <w:color w:val="000000"/>
                <w:lang w:val="es-ES" w:eastAsia="es-MX"/>
              </w:rPr>
              <w:t>Adolescentes</w:t>
            </w:r>
            <w:r w:rsidRPr="00B11A53">
              <w:rPr>
                <w:rFonts w:eastAsia="Times New Roman"/>
                <w:color w:val="000000"/>
                <w:lang w:val="es-ES" w:eastAsia="es-MX"/>
              </w:rPr>
              <w:t xml:space="preserve"> conforme a los requerimientos de la Ley Nacional del Sistema Integral de Justicia Penal para Adolescentes, en lo referente a la adecuación de espacios para atención de adolescentes femeninas y madres adolescentes, espacios de visita familiar, íntima, habilitación y equipamiento de talleres, de área deportivas, servicios médicos.</w:t>
            </w:r>
          </w:p>
          <w:p w14:paraId="5CC648EA" w14:textId="77777777" w:rsidR="00B11A53" w:rsidRPr="00B11A53" w:rsidRDefault="00B11A53" w:rsidP="00173CDD">
            <w:pPr>
              <w:spacing w:after="0" w:line="240" w:lineRule="auto"/>
              <w:jc w:val="both"/>
              <w:rPr>
                <w:rFonts w:eastAsia="Times New Roman"/>
                <w:color w:val="000000"/>
                <w:lang w:val="es-ES" w:eastAsia="es-MX"/>
              </w:rPr>
            </w:pPr>
          </w:p>
        </w:tc>
      </w:tr>
    </w:tbl>
    <w:p w14:paraId="2DA3330C" w14:textId="7A550BA2" w:rsidR="00DF4DCD" w:rsidRDefault="00DF4DCD">
      <w:pPr>
        <w:spacing w:after="0" w:line="240" w:lineRule="auto"/>
      </w:pPr>
    </w:p>
    <w:p w14:paraId="2BAC4E13" w14:textId="06C5E2E9" w:rsidR="00DF4DCD" w:rsidRDefault="00DF4DCD">
      <w:pPr>
        <w:spacing w:after="0" w:line="240" w:lineRule="auto"/>
      </w:pPr>
    </w:p>
    <w:p w14:paraId="709EB472" w14:textId="77777777" w:rsidR="00517737" w:rsidRDefault="00517737">
      <w:pPr>
        <w:spacing w:after="0" w:line="240" w:lineRule="auto"/>
      </w:pPr>
    </w:p>
    <w:tbl>
      <w:tblPr>
        <w:tblW w:w="101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158"/>
      </w:tblGrid>
      <w:tr w:rsidR="00690BCC" w:rsidRPr="00E1388F" w14:paraId="7AA11186" w14:textId="77777777" w:rsidTr="00517737">
        <w:trPr>
          <w:trHeight w:val="300"/>
          <w:tblCellSpacing w:w="20" w:type="dxa"/>
        </w:trPr>
        <w:tc>
          <w:tcPr>
            <w:tcW w:w="10048" w:type="dxa"/>
            <w:shd w:val="clear" w:color="000000" w:fill="8B1D31"/>
            <w:noWrap/>
            <w:vAlign w:val="center"/>
            <w:hideMark/>
          </w:tcPr>
          <w:p w14:paraId="68EA2BD9" w14:textId="77777777" w:rsidR="00E1388F" w:rsidRPr="00E1388F" w:rsidRDefault="00E1388F" w:rsidP="00BA4A59">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BA4A59" w:rsidRPr="00E1388F" w14:paraId="3FBB5206" w14:textId="77777777" w:rsidTr="00517737">
        <w:trPr>
          <w:trHeight w:val="397"/>
          <w:tblCellSpacing w:w="20" w:type="dxa"/>
        </w:trPr>
        <w:tc>
          <w:tcPr>
            <w:tcW w:w="10048" w:type="dxa"/>
            <w:shd w:val="clear" w:color="000000" w:fill="FFFFFF"/>
            <w:noWrap/>
            <w:vAlign w:val="center"/>
            <w:hideMark/>
          </w:tcPr>
          <w:p w14:paraId="102A3EE3" w14:textId="1ED8F683"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lastRenderedPageBreak/>
              <w:t>4.1 Nombre del Coordinador de la Evaluación:</w:t>
            </w:r>
            <w:r>
              <w:rPr>
                <w:rFonts w:eastAsia="Times New Roman"/>
                <w:b/>
                <w:color w:val="000000"/>
                <w:lang w:eastAsia="es-MX"/>
              </w:rPr>
              <w:t xml:space="preserve"> </w:t>
            </w:r>
            <w:r w:rsidR="00F46C22">
              <w:rPr>
                <w:rFonts w:eastAsia="Times New Roman"/>
                <w:color w:val="000000"/>
                <w:lang w:eastAsia="es-MX"/>
              </w:rPr>
              <w:t>Gustavo Guzmán C</w:t>
            </w:r>
            <w:r w:rsidR="00D71101">
              <w:rPr>
                <w:rFonts w:eastAsia="Times New Roman"/>
                <w:color w:val="000000"/>
                <w:lang w:eastAsia="es-MX"/>
              </w:rPr>
              <w:t>á</w:t>
            </w:r>
            <w:r w:rsidR="00F46C22">
              <w:rPr>
                <w:rFonts w:eastAsia="Times New Roman"/>
                <w:color w:val="000000"/>
                <w:lang w:eastAsia="es-MX"/>
              </w:rPr>
              <w:t>zares</w:t>
            </w:r>
            <w:r w:rsidR="00B11A53">
              <w:rPr>
                <w:rFonts w:eastAsia="Times New Roman"/>
                <w:color w:val="000000"/>
                <w:lang w:eastAsia="es-MX"/>
              </w:rPr>
              <w:t>/Domingo Vega González</w:t>
            </w:r>
          </w:p>
        </w:tc>
      </w:tr>
      <w:tr w:rsidR="00BA4A59" w:rsidRPr="00E1388F" w14:paraId="7A18F6CA" w14:textId="77777777" w:rsidTr="00517737">
        <w:trPr>
          <w:trHeight w:val="397"/>
          <w:tblCellSpacing w:w="20" w:type="dxa"/>
        </w:trPr>
        <w:tc>
          <w:tcPr>
            <w:tcW w:w="10048" w:type="dxa"/>
            <w:shd w:val="clear" w:color="000000" w:fill="FFFFFF"/>
            <w:noWrap/>
            <w:vAlign w:val="center"/>
            <w:hideMark/>
          </w:tcPr>
          <w:p w14:paraId="10467591" w14:textId="71B5E5E8"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4.2 Cargo:</w:t>
            </w:r>
            <w:r>
              <w:rPr>
                <w:rFonts w:eastAsia="Times New Roman"/>
                <w:b/>
                <w:color w:val="000000"/>
                <w:lang w:eastAsia="es-MX"/>
              </w:rPr>
              <w:t xml:space="preserve"> </w:t>
            </w:r>
            <w:r w:rsidR="00D71101">
              <w:rPr>
                <w:rFonts w:eastAsia="Times New Roman"/>
                <w:color w:val="000000"/>
                <w:lang w:eastAsia="es-MX"/>
              </w:rPr>
              <w:t>Director</w:t>
            </w:r>
            <w:r w:rsidR="00DF4DCD">
              <w:rPr>
                <w:rFonts w:eastAsia="Times New Roman"/>
                <w:color w:val="000000"/>
                <w:lang w:eastAsia="es-MX"/>
              </w:rPr>
              <w:t xml:space="preserve"> </w:t>
            </w:r>
            <w:r w:rsidR="00735BDD">
              <w:rPr>
                <w:rFonts w:eastAsia="Times New Roman"/>
                <w:color w:val="000000"/>
                <w:lang w:eastAsia="es-MX"/>
              </w:rPr>
              <w:t>/ Subdirector</w:t>
            </w:r>
          </w:p>
        </w:tc>
      </w:tr>
      <w:tr w:rsidR="00BA4A59" w:rsidRPr="00E1388F" w14:paraId="3D1F4E58" w14:textId="77777777" w:rsidTr="00517737">
        <w:trPr>
          <w:trHeight w:val="397"/>
          <w:tblCellSpacing w:w="20" w:type="dxa"/>
        </w:trPr>
        <w:tc>
          <w:tcPr>
            <w:tcW w:w="10048" w:type="dxa"/>
            <w:shd w:val="clear" w:color="000000" w:fill="FFFFFF"/>
            <w:noWrap/>
            <w:vAlign w:val="center"/>
            <w:hideMark/>
          </w:tcPr>
          <w:p w14:paraId="2AC0AFA6" w14:textId="7CBCC66C"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4.3 Institución a la que Pertenece:</w:t>
            </w:r>
            <w:r>
              <w:rPr>
                <w:rFonts w:eastAsia="Times New Roman"/>
                <w:b/>
                <w:color w:val="000000"/>
                <w:lang w:eastAsia="es-MX"/>
              </w:rPr>
              <w:t xml:space="preserve"> </w:t>
            </w:r>
            <w:r w:rsidR="00D71101">
              <w:rPr>
                <w:rFonts w:eastAsia="Times New Roman"/>
                <w:color w:val="000000"/>
                <w:lang w:eastAsia="es-MX"/>
              </w:rPr>
              <w:t>SESESP</w:t>
            </w:r>
          </w:p>
        </w:tc>
      </w:tr>
      <w:tr w:rsidR="00BA4A59" w:rsidRPr="00E1388F" w14:paraId="1B5E0E2E" w14:textId="77777777" w:rsidTr="00517737">
        <w:trPr>
          <w:trHeight w:val="397"/>
          <w:tblCellSpacing w:w="20" w:type="dxa"/>
        </w:trPr>
        <w:tc>
          <w:tcPr>
            <w:tcW w:w="10048" w:type="dxa"/>
            <w:shd w:val="clear" w:color="000000" w:fill="FFFFFF"/>
            <w:noWrap/>
            <w:vAlign w:val="center"/>
            <w:hideMark/>
          </w:tcPr>
          <w:p w14:paraId="26310276" w14:textId="0AC6322A" w:rsidR="00BA4A59" w:rsidRDefault="00BA4A59" w:rsidP="00D71101">
            <w:pPr>
              <w:spacing w:after="0" w:line="240" w:lineRule="auto"/>
              <w:rPr>
                <w:rFonts w:eastAsia="Times New Roman"/>
                <w:color w:val="000000"/>
                <w:lang w:eastAsia="es-MX"/>
              </w:rPr>
            </w:pPr>
            <w:r w:rsidRPr="00BA4A59">
              <w:rPr>
                <w:rFonts w:eastAsia="Times New Roman"/>
                <w:b/>
                <w:color w:val="000000"/>
                <w:lang w:eastAsia="es-MX"/>
              </w:rPr>
              <w:t>4.4 Principales Colaboradores:</w:t>
            </w:r>
            <w:r>
              <w:rPr>
                <w:rFonts w:eastAsia="Times New Roman"/>
                <w:b/>
                <w:color w:val="000000"/>
                <w:lang w:eastAsia="es-MX"/>
              </w:rPr>
              <w:t xml:space="preserve"> </w:t>
            </w:r>
            <w:r w:rsidR="00D71101">
              <w:rPr>
                <w:rFonts w:eastAsia="Times New Roman"/>
                <w:color w:val="000000"/>
                <w:lang w:eastAsia="es-MX"/>
              </w:rPr>
              <w:t>Personal Técnico –Operativo del FASP</w:t>
            </w:r>
            <w:r w:rsidR="007E1F01">
              <w:rPr>
                <w:rFonts w:eastAsia="Times New Roman"/>
                <w:color w:val="000000"/>
                <w:lang w:eastAsia="es-MX"/>
              </w:rPr>
              <w:t>:</w:t>
            </w:r>
          </w:p>
          <w:p w14:paraId="707F2356" w14:textId="77777777" w:rsidR="007E1F01" w:rsidRDefault="007E1F01" w:rsidP="00D71101">
            <w:pPr>
              <w:spacing w:after="0" w:line="240" w:lineRule="auto"/>
              <w:rPr>
                <w:rFonts w:eastAsia="Times New Roman"/>
                <w:color w:val="000000"/>
                <w:lang w:eastAsia="es-MX"/>
              </w:rPr>
            </w:pPr>
          </w:p>
          <w:p w14:paraId="434D62B8" w14:textId="56A919E4" w:rsidR="007E1F01" w:rsidRPr="007E1F01" w:rsidRDefault="007E1F01" w:rsidP="007E1F01">
            <w:pPr>
              <w:spacing w:after="0" w:line="240" w:lineRule="auto"/>
              <w:rPr>
                <w:rFonts w:eastAsia="Times New Roman"/>
                <w:color w:val="000000"/>
                <w:lang w:eastAsia="es-MX"/>
              </w:rPr>
            </w:pPr>
            <w:r w:rsidRPr="007E1F01">
              <w:rPr>
                <w:rFonts w:eastAsia="Times New Roman"/>
                <w:color w:val="000000"/>
                <w:lang w:eastAsia="es-MX"/>
              </w:rPr>
              <w:t>Celia Silvas Camacho</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Juan Pablo Tisnado Zamorano</w:t>
            </w:r>
          </w:p>
          <w:p w14:paraId="0AD11440" w14:textId="55FF186A" w:rsidR="007E1F01" w:rsidRPr="007E1F01" w:rsidRDefault="007E1F01" w:rsidP="007E1F01">
            <w:pPr>
              <w:spacing w:after="0" w:line="240" w:lineRule="auto"/>
              <w:rPr>
                <w:rFonts w:eastAsia="Times New Roman"/>
                <w:color w:val="000000"/>
                <w:lang w:eastAsia="es-MX"/>
              </w:rPr>
            </w:pPr>
            <w:r w:rsidRPr="007E1F01">
              <w:rPr>
                <w:rFonts w:eastAsia="Times New Roman"/>
                <w:color w:val="000000"/>
                <w:lang w:eastAsia="es-MX"/>
              </w:rPr>
              <w:t>Elsa Pico Aguirre</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Jorge Antonio Aguirre Pablos</w:t>
            </w:r>
          </w:p>
          <w:p w14:paraId="120281D7" w14:textId="3053292E" w:rsidR="007E1F01" w:rsidRPr="007E1F01" w:rsidRDefault="007E1F01" w:rsidP="007E1F01">
            <w:pPr>
              <w:spacing w:after="0" w:line="240" w:lineRule="auto"/>
              <w:rPr>
                <w:rFonts w:eastAsia="Times New Roman"/>
                <w:color w:val="000000"/>
                <w:lang w:eastAsia="es-MX"/>
              </w:rPr>
            </w:pPr>
            <w:r w:rsidRPr="007E1F01">
              <w:rPr>
                <w:rFonts w:eastAsia="Times New Roman"/>
                <w:color w:val="000000"/>
                <w:lang w:eastAsia="es-MX"/>
              </w:rPr>
              <w:t>Esperanza Rodríguez Cota</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Roberto Angulo Canobio</w:t>
            </w:r>
          </w:p>
          <w:p w14:paraId="053BDD7D" w14:textId="015F8C07" w:rsidR="007E1F01" w:rsidRPr="007E1F01" w:rsidRDefault="007E1F01" w:rsidP="007E1F01">
            <w:pPr>
              <w:spacing w:after="0" w:line="240" w:lineRule="auto"/>
              <w:rPr>
                <w:rFonts w:eastAsia="Times New Roman"/>
                <w:color w:val="000000"/>
                <w:lang w:eastAsia="es-MX"/>
              </w:rPr>
            </w:pPr>
            <w:r w:rsidRPr="007E1F01">
              <w:rPr>
                <w:rFonts w:eastAsia="Times New Roman"/>
                <w:color w:val="000000"/>
                <w:lang w:eastAsia="es-MX"/>
              </w:rPr>
              <w:t>Sara Leyva Perea</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Oscar Rene López Sánchez</w:t>
            </w:r>
          </w:p>
          <w:p w14:paraId="64ACC9B8" w14:textId="582915FC" w:rsidR="007E1F01" w:rsidRPr="007E1F01" w:rsidRDefault="007E1F01" w:rsidP="007E1F01">
            <w:pPr>
              <w:spacing w:after="0" w:line="240" w:lineRule="auto"/>
              <w:rPr>
                <w:rFonts w:eastAsia="Times New Roman"/>
                <w:color w:val="000000"/>
                <w:lang w:eastAsia="es-MX"/>
              </w:rPr>
            </w:pPr>
            <w:r w:rsidRPr="007E1F01">
              <w:rPr>
                <w:rFonts w:eastAsia="Times New Roman"/>
                <w:color w:val="000000"/>
                <w:lang w:eastAsia="es-MX"/>
              </w:rPr>
              <w:t>Jo</w:t>
            </w:r>
            <w:r>
              <w:rPr>
                <w:rFonts w:eastAsia="Times New Roman"/>
                <w:color w:val="000000"/>
                <w:lang w:eastAsia="es-MX"/>
              </w:rPr>
              <w:t>s</w:t>
            </w:r>
            <w:r w:rsidRPr="007E1F01">
              <w:rPr>
                <w:rFonts w:eastAsia="Times New Roman"/>
                <w:color w:val="000000"/>
                <w:lang w:eastAsia="es-MX"/>
              </w:rPr>
              <w:t xml:space="preserve">é Antonio </w:t>
            </w:r>
            <w:r>
              <w:rPr>
                <w:rFonts w:eastAsia="Times New Roman"/>
                <w:color w:val="000000"/>
                <w:lang w:eastAsia="es-MX"/>
              </w:rPr>
              <w:t>Corona</w:t>
            </w:r>
            <w:r w:rsidRPr="007E1F01">
              <w:rPr>
                <w:rFonts w:eastAsia="Times New Roman"/>
                <w:color w:val="000000"/>
                <w:lang w:eastAsia="es-MX"/>
              </w:rPr>
              <w:t xml:space="preserve"> </w:t>
            </w:r>
            <w:r>
              <w:rPr>
                <w:rFonts w:eastAsia="Times New Roman"/>
                <w:color w:val="000000"/>
                <w:lang w:eastAsia="es-MX"/>
              </w:rPr>
              <w:t>Burgueño</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Antonio Osuna Tirado</w:t>
            </w:r>
          </w:p>
          <w:p w14:paraId="750D540B" w14:textId="0A802DEB" w:rsidR="00735BDD" w:rsidRPr="00E1388F" w:rsidRDefault="007E1F01" w:rsidP="007E1F01">
            <w:pPr>
              <w:spacing w:after="0" w:line="240" w:lineRule="auto"/>
              <w:rPr>
                <w:rFonts w:eastAsia="Times New Roman"/>
                <w:color w:val="000000"/>
                <w:lang w:eastAsia="es-MX"/>
              </w:rPr>
            </w:pPr>
            <w:r w:rsidRPr="007E1F01">
              <w:rPr>
                <w:rFonts w:eastAsia="Times New Roman"/>
                <w:color w:val="000000"/>
                <w:lang w:eastAsia="es-MX"/>
              </w:rPr>
              <w:t>Damacio Martínez Ochoa</w:t>
            </w:r>
            <w:r w:rsidRPr="007E1F01">
              <w:rPr>
                <w:rFonts w:eastAsia="Times New Roman"/>
                <w:color w:val="000000"/>
                <w:lang w:eastAsia="es-MX"/>
              </w:rPr>
              <w:tab/>
            </w:r>
            <w:r>
              <w:rPr>
                <w:rFonts w:eastAsia="Times New Roman"/>
                <w:color w:val="000000"/>
                <w:lang w:eastAsia="es-MX"/>
              </w:rPr>
              <w:t xml:space="preserve">         </w:t>
            </w:r>
            <w:r w:rsidRPr="007E1F01">
              <w:rPr>
                <w:rFonts w:eastAsia="Times New Roman"/>
                <w:color w:val="000000"/>
                <w:lang w:eastAsia="es-MX"/>
              </w:rPr>
              <w:t>Eduardo Obeso Bayliss</w:t>
            </w:r>
          </w:p>
        </w:tc>
      </w:tr>
      <w:tr w:rsidR="00BA4A59" w:rsidRPr="00E1388F" w14:paraId="381C82AE" w14:textId="77777777" w:rsidTr="00517737">
        <w:trPr>
          <w:trHeight w:val="397"/>
          <w:tblCellSpacing w:w="20" w:type="dxa"/>
        </w:trPr>
        <w:tc>
          <w:tcPr>
            <w:tcW w:w="10048" w:type="dxa"/>
            <w:shd w:val="clear" w:color="000000" w:fill="FFFFFF"/>
            <w:noWrap/>
            <w:vAlign w:val="center"/>
            <w:hideMark/>
          </w:tcPr>
          <w:p w14:paraId="0252A8A5" w14:textId="77777777" w:rsidR="00BA4A59" w:rsidRPr="00E1388F" w:rsidRDefault="00BA4A59" w:rsidP="00D71101">
            <w:pPr>
              <w:spacing w:after="0" w:line="240" w:lineRule="auto"/>
              <w:ind w:right="-212"/>
              <w:rPr>
                <w:rFonts w:eastAsia="Times New Roman"/>
                <w:color w:val="000000"/>
                <w:lang w:eastAsia="es-MX"/>
              </w:rPr>
            </w:pPr>
            <w:r w:rsidRPr="00BA4A59">
              <w:rPr>
                <w:rFonts w:eastAsia="Times New Roman"/>
                <w:b/>
                <w:color w:val="000000"/>
                <w:lang w:eastAsia="es-MX"/>
              </w:rPr>
              <w:t>4.5 Correo Electrónico del Coordinador de la Evaluación:</w:t>
            </w:r>
            <w:r>
              <w:rPr>
                <w:rFonts w:eastAsia="Times New Roman"/>
                <w:b/>
                <w:color w:val="000000"/>
                <w:lang w:eastAsia="es-MX"/>
              </w:rPr>
              <w:t xml:space="preserve"> </w:t>
            </w:r>
            <w:r w:rsidR="00D71101">
              <w:rPr>
                <w:rFonts w:eastAsia="Times New Roman"/>
                <w:color w:val="000000"/>
                <w:lang w:eastAsia="es-MX"/>
              </w:rPr>
              <w:t>foseg_sinaloa@hotmail.com</w:t>
            </w:r>
          </w:p>
        </w:tc>
      </w:tr>
      <w:tr w:rsidR="00BA4A59" w:rsidRPr="00E1388F" w14:paraId="57610A89" w14:textId="77777777" w:rsidTr="00517737">
        <w:trPr>
          <w:trHeight w:val="397"/>
          <w:tblCellSpacing w:w="20" w:type="dxa"/>
        </w:trPr>
        <w:tc>
          <w:tcPr>
            <w:tcW w:w="10048" w:type="dxa"/>
            <w:shd w:val="clear" w:color="000000" w:fill="FFFFFF"/>
            <w:noWrap/>
            <w:vAlign w:val="center"/>
            <w:hideMark/>
          </w:tcPr>
          <w:p w14:paraId="38CE24A8" w14:textId="77777777" w:rsidR="00BA4A59" w:rsidRPr="00E1388F" w:rsidRDefault="00BA4A59" w:rsidP="00D71101">
            <w:pPr>
              <w:spacing w:after="0" w:line="240" w:lineRule="auto"/>
              <w:rPr>
                <w:rFonts w:eastAsia="Times New Roman"/>
                <w:color w:val="000000"/>
                <w:lang w:eastAsia="es-MX"/>
              </w:rPr>
            </w:pPr>
            <w:r w:rsidRPr="00BA4A59">
              <w:rPr>
                <w:rFonts w:eastAsia="Times New Roman"/>
                <w:b/>
                <w:color w:val="000000"/>
                <w:lang w:eastAsia="es-MX"/>
              </w:rPr>
              <w:t>4.6 Teléfono (</w:t>
            </w:r>
            <w:r w:rsidR="00D71101">
              <w:rPr>
                <w:rFonts w:eastAsia="Times New Roman"/>
                <w:b/>
                <w:color w:val="000000"/>
                <w:lang w:eastAsia="es-MX"/>
              </w:rPr>
              <w:t>667)</w:t>
            </w:r>
            <w:r>
              <w:rPr>
                <w:rFonts w:eastAsia="Times New Roman"/>
                <w:b/>
                <w:color w:val="000000"/>
                <w:lang w:eastAsia="es-MX"/>
              </w:rPr>
              <w:t xml:space="preserve"> </w:t>
            </w:r>
            <w:r w:rsidR="00D71101">
              <w:rPr>
                <w:rFonts w:eastAsia="Times New Roman"/>
                <w:color w:val="000000"/>
                <w:lang w:eastAsia="es-MX"/>
              </w:rPr>
              <w:t xml:space="preserve">846-5805 </w:t>
            </w:r>
            <w:r w:rsidR="004512E5">
              <w:rPr>
                <w:rFonts w:eastAsia="Times New Roman"/>
                <w:color w:val="000000"/>
                <w:lang w:eastAsia="es-MX"/>
              </w:rPr>
              <w:t>ext.</w:t>
            </w:r>
            <w:r w:rsidR="00D71101">
              <w:rPr>
                <w:rFonts w:eastAsia="Times New Roman"/>
                <w:color w:val="000000"/>
                <w:lang w:eastAsia="es-MX"/>
              </w:rPr>
              <w:t>: 16050</w:t>
            </w:r>
            <w:r>
              <w:rPr>
                <w:rFonts w:eastAsia="Times New Roman"/>
                <w:color w:val="000000"/>
                <w:lang w:eastAsia="es-MX"/>
              </w:rPr>
              <w:t xml:space="preserve"> </w:t>
            </w:r>
          </w:p>
        </w:tc>
      </w:tr>
    </w:tbl>
    <w:p w14:paraId="40DE0AE0" w14:textId="77777777" w:rsidR="00EC63B6" w:rsidRDefault="00EC63B6" w:rsidP="002272AA">
      <w:pPr>
        <w:spacing w:after="0"/>
      </w:pPr>
    </w:p>
    <w:tbl>
      <w:tblPr>
        <w:tblW w:w="9987"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462"/>
        <w:gridCol w:w="228"/>
        <w:gridCol w:w="1386"/>
        <w:gridCol w:w="1953"/>
        <w:gridCol w:w="246"/>
        <w:gridCol w:w="2159"/>
        <w:gridCol w:w="84"/>
        <w:gridCol w:w="184"/>
        <w:gridCol w:w="1405"/>
      </w:tblGrid>
      <w:tr w:rsidR="00690BCC" w:rsidRPr="00BA4A59" w14:paraId="32E1ADC1" w14:textId="77777777" w:rsidTr="00517737">
        <w:trPr>
          <w:trHeight w:val="312"/>
          <w:tblCellSpacing w:w="20" w:type="dxa"/>
        </w:trPr>
        <w:tc>
          <w:tcPr>
            <w:tcW w:w="9907" w:type="dxa"/>
            <w:gridSpan w:val="9"/>
            <w:shd w:val="clear" w:color="000000" w:fill="8B1D31"/>
            <w:noWrap/>
            <w:vAlign w:val="center"/>
            <w:hideMark/>
          </w:tcPr>
          <w:p w14:paraId="21541CCD"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5. Identificación del (os) Programa(S)</w:t>
            </w:r>
          </w:p>
        </w:tc>
      </w:tr>
      <w:tr w:rsidR="0091170D" w:rsidRPr="00E1388F" w14:paraId="4D7A9FD9" w14:textId="77777777" w:rsidTr="00517737">
        <w:trPr>
          <w:trHeight w:val="406"/>
          <w:tblCellSpacing w:w="20" w:type="dxa"/>
        </w:trPr>
        <w:tc>
          <w:tcPr>
            <w:tcW w:w="9907" w:type="dxa"/>
            <w:gridSpan w:val="9"/>
            <w:shd w:val="clear" w:color="000000" w:fill="FFFFFF"/>
            <w:noWrap/>
            <w:vAlign w:val="center"/>
            <w:hideMark/>
          </w:tcPr>
          <w:p w14:paraId="16D39151" w14:textId="77777777" w:rsidR="0091170D" w:rsidRPr="00E1388F" w:rsidRDefault="0091170D" w:rsidP="00D71101">
            <w:pPr>
              <w:spacing w:after="0" w:line="240" w:lineRule="auto"/>
              <w:rPr>
                <w:rFonts w:eastAsia="Times New Roman"/>
                <w:color w:val="000000"/>
                <w:lang w:eastAsia="es-MX"/>
              </w:rPr>
            </w:pPr>
            <w:r w:rsidRPr="00BA4A59">
              <w:rPr>
                <w:rFonts w:eastAsia="Times New Roman"/>
                <w:b/>
                <w:color w:val="000000"/>
                <w:lang w:eastAsia="es-MX"/>
              </w:rPr>
              <w:t>5.1 Nombre del (os) Programa(s) Evaluado(s):</w:t>
            </w:r>
            <w:r>
              <w:rPr>
                <w:rFonts w:eastAsia="Times New Roman"/>
                <w:b/>
                <w:color w:val="000000"/>
                <w:lang w:eastAsia="es-MX"/>
              </w:rPr>
              <w:t xml:space="preserve"> </w:t>
            </w:r>
            <w:r w:rsidR="00D71101">
              <w:rPr>
                <w:rFonts w:eastAsia="Times New Roman"/>
                <w:color w:val="000000"/>
                <w:lang w:eastAsia="es-MX"/>
              </w:rPr>
              <w:t>Fondo de Aportaciones para la Seguridad Pública</w:t>
            </w:r>
            <w:r w:rsidRPr="00E1388F">
              <w:rPr>
                <w:rFonts w:eastAsia="Times New Roman"/>
                <w:color w:val="000000"/>
                <w:lang w:eastAsia="es-MX"/>
              </w:rPr>
              <w:t> </w:t>
            </w:r>
          </w:p>
        </w:tc>
      </w:tr>
      <w:tr w:rsidR="0091170D" w:rsidRPr="00E1388F" w14:paraId="3758F177" w14:textId="77777777" w:rsidTr="00517737">
        <w:trPr>
          <w:trHeight w:val="406"/>
          <w:tblCellSpacing w:w="20" w:type="dxa"/>
        </w:trPr>
        <w:tc>
          <w:tcPr>
            <w:tcW w:w="9907" w:type="dxa"/>
            <w:gridSpan w:val="9"/>
            <w:shd w:val="clear" w:color="000000" w:fill="FFFFFF"/>
            <w:noWrap/>
            <w:vAlign w:val="center"/>
            <w:hideMark/>
          </w:tcPr>
          <w:p w14:paraId="74533659" w14:textId="77777777" w:rsidR="0091170D" w:rsidRPr="003E6E57" w:rsidRDefault="0091170D" w:rsidP="00D71101">
            <w:pPr>
              <w:spacing w:after="0" w:line="240" w:lineRule="auto"/>
              <w:rPr>
                <w:rFonts w:cstheme="minorHAnsi"/>
              </w:rPr>
            </w:pPr>
            <w:r w:rsidRPr="00BA4A59">
              <w:rPr>
                <w:rFonts w:eastAsia="Times New Roman"/>
                <w:b/>
                <w:color w:val="000000"/>
                <w:lang w:eastAsia="es-MX"/>
              </w:rPr>
              <w:t>5.2 Siglas:</w:t>
            </w:r>
            <w:r>
              <w:rPr>
                <w:rFonts w:eastAsia="Times New Roman"/>
                <w:b/>
                <w:color w:val="000000"/>
                <w:lang w:eastAsia="es-MX"/>
              </w:rPr>
              <w:t xml:space="preserve"> </w:t>
            </w:r>
            <w:r w:rsidR="00D71101">
              <w:rPr>
                <w:rFonts w:cstheme="minorHAnsi"/>
              </w:rPr>
              <w:t>FASP</w:t>
            </w:r>
          </w:p>
        </w:tc>
      </w:tr>
      <w:tr w:rsidR="0091170D" w:rsidRPr="00E1388F" w14:paraId="6D2B7BA9" w14:textId="77777777" w:rsidTr="00517737">
        <w:trPr>
          <w:trHeight w:val="406"/>
          <w:tblCellSpacing w:w="20" w:type="dxa"/>
        </w:trPr>
        <w:tc>
          <w:tcPr>
            <w:tcW w:w="9907" w:type="dxa"/>
            <w:gridSpan w:val="9"/>
            <w:shd w:val="clear" w:color="000000" w:fill="FFFFFF"/>
            <w:noWrap/>
            <w:vAlign w:val="center"/>
            <w:hideMark/>
          </w:tcPr>
          <w:p w14:paraId="6A3422E4" w14:textId="77777777" w:rsidR="0091170D" w:rsidRPr="00E1388F" w:rsidRDefault="0091170D" w:rsidP="00D71101">
            <w:pPr>
              <w:spacing w:after="0" w:line="240" w:lineRule="auto"/>
              <w:rPr>
                <w:rFonts w:eastAsia="Times New Roman"/>
                <w:color w:val="000000"/>
                <w:lang w:eastAsia="es-MX"/>
              </w:rPr>
            </w:pPr>
            <w:r w:rsidRPr="00BA4A59">
              <w:rPr>
                <w:rFonts w:eastAsia="Times New Roman"/>
                <w:b/>
                <w:color w:val="000000"/>
                <w:lang w:eastAsia="es-MX"/>
              </w:rPr>
              <w:t>5.3 Ente Público Coordinador del (os) Programa(s):</w:t>
            </w:r>
            <w:r>
              <w:rPr>
                <w:rFonts w:eastAsia="Times New Roman"/>
                <w:b/>
                <w:color w:val="000000"/>
                <w:lang w:eastAsia="es-MX"/>
              </w:rPr>
              <w:t xml:space="preserve"> </w:t>
            </w:r>
            <w:r w:rsidR="00D71101">
              <w:rPr>
                <w:rFonts w:eastAsia="Times New Roman"/>
                <w:color w:val="000000"/>
                <w:lang w:eastAsia="es-MX"/>
              </w:rPr>
              <w:t>SESESP</w:t>
            </w:r>
          </w:p>
        </w:tc>
      </w:tr>
      <w:tr w:rsidR="00690BCC" w:rsidRPr="00E1388F" w14:paraId="3ECD33E6" w14:textId="77777777" w:rsidTr="00517737">
        <w:trPr>
          <w:trHeight w:val="406"/>
          <w:tblCellSpacing w:w="20" w:type="dxa"/>
        </w:trPr>
        <w:tc>
          <w:tcPr>
            <w:tcW w:w="9907" w:type="dxa"/>
            <w:gridSpan w:val="9"/>
            <w:shd w:val="clear" w:color="000000" w:fill="FFFFFF"/>
            <w:noWrap/>
            <w:vAlign w:val="center"/>
            <w:hideMark/>
          </w:tcPr>
          <w:p w14:paraId="383405BF" w14:textId="77777777" w:rsidR="00E1388F" w:rsidRPr="00E1388F" w:rsidRDefault="00E1388F" w:rsidP="0091170D">
            <w:pPr>
              <w:spacing w:after="0" w:line="240" w:lineRule="auto"/>
              <w:rPr>
                <w:rFonts w:eastAsia="Times New Roman"/>
                <w:color w:val="000000"/>
                <w:lang w:eastAsia="es-MX"/>
              </w:rPr>
            </w:pPr>
            <w:r w:rsidRPr="00BA4A59">
              <w:rPr>
                <w:rFonts w:eastAsia="Times New Roman"/>
                <w:b/>
                <w:color w:val="000000"/>
                <w:lang w:eastAsia="es-MX"/>
              </w:rPr>
              <w:t>5.4 Poder Público al que Pertenece(n) el(los) Programa(s):</w:t>
            </w:r>
            <w:r w:rsidR="003E6E57">
              <w:rPr>
                <w:rFonts w:eastAsia="Times New Roman"/>
                <w:color w:val="000000"/>
                <w:lang w:eastAsia="es-MX"/>
              </w:rPr>
              <w:t xml:space="preserve"> Seleccionar con una (X),  el correspondiente</w:t>
            </w:r>
          </w:p>
        </w:tc>
      </w:tr>
      <w:tr w:rsidR="00EC63B6" w:rsidRPr="00E1388F" w14:paraId="2A4E6295" w14:textId="77777777" w:rsidTr="00517737">
        <w:trPr>
          <w:trHeight w:val="406"/>
          <w:tblCellSpacing w:w="20" w:type="dxa"/>
        </w:trPr>
        <w:tc>
          <w:tcPr>
            <w:tcW w:w="2600" w:type="dxa"/>
            <w:gridSpan w:val="2"/>
            <w:shd w:val="clear" w:color="000000" w:fill="FFFFFF"/>
            <w:noWrap/>
            <w:vAlign w:val="center"/>
            <w:hideMark/>
          </w:tcPr>
          <w:p w14:paraId="614CCB48"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Ejecutivo:</w:t>
            </w:r>
            <w:r w:rsidR="00D71101">
              <w:rPr>
                <w:rFonts w:eastAsia="Times New Roman"/>
                <w:color w:val="000000"/>
                <w:lang w:eastAsia="es-MX"/>
              </w:rPr>
              <w:t xml:space="preserve"> X</w:t>
            </w:r>
          </w:p>
        </w:tc>
        <w:tc>
          <w:tcPr>
            <w:tcW w:w="3515" w:type="dxa"/>
            <w:gridSpan w:val="3"/>
            <w:shd w:val="clear" w:color="000000" w:fill="FFFFFF"/>
            <w:noWrap/>
            <w:vAlign w:val="center"/>
            <w:hideMark/>
          </w:tcPr>
          <w:p w14:paraId="5A1F62FE"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Legislativo:</w:t>
            </w:r>
          </w:p>
        </w:tc>
        <w:tc>
          <w:tcPr>
            <w:tcW w:w="2089" w:type="dxa"/>
            <w:shd w:val="clear" w:color="000000" w:fill="FFFFFF"/>
            <w:noWrap/>
            <w:vAlign w:val="center"/>
            <w:hideMark/>
          </w:tcPr>
          <w:p w14:paraId="0125A250"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Poder Judicial:</w:t>
            </w:r>
          </w:p>
        </w:tc>
        <w:tc>
          <w:tcPr>
            <w:tcW w:w="1583" w:type="dxa"/>
            <w:gridSpan w:val="3"/>
            <w:shd w:val="clear" w:color="000000" w:fill="FFFFFF"/>
            <w:noWrap/>
            <w:vAlign w:val="center"/>
            <w:hideMark/>
          </w:tcPr>
          <w:p w14:paraId="1BD08A17"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Ente Autónomo:</w:t>
            </w:r>
          </w:p>
        </w:tc>
      </w:tr>
      <w:tr w:rsidR="00690BCC" w:rsidRPr="00E1388F" w14:paraId="3B06615E" w14:textId="77777777" w:rsidTr="00517737">
        <w:trPr>
          <w:trHeight w:val="484"/>
          <w:tblCellSpacing w:w="20" w:type="dxa"/>
        </w:trPr>
        <w:tc>
          <w:tcPr>
            <w:tcW w:w="9907" w:type="dxa"/>
            <w:gridSpan w:val="9"/>
            <w:shd w:val="clear" w:color="auto" w:fill="F2F2F2" w:themeFill="background1" w:themeFillShade="F2"/>
            <w:noWrap/>
            <w:vAlign w:val="center"/>
            <w:hideMark/>
          </w:tcPr>
          <w:p w14:paraId="63291B3A" w14:textId="77777777" w:rsidR="00E1388F" w:rsidRPr="00BA4A59" w:rsidRDefault="00E1388F" w:rsidP="0091170D">
            <w:pPr>
              <w:spacing w:after="0" w:line="240" w:lineRule="auto"/>
              <w:rPr>
                <w:rFonts w:eastAsia="Times New Roman"/>
                <w:b/>
                <w:color w:val="000000"/>
                <w:lang w:eastAsia="es-MX"/>
              </w:rPr>
            </w:pPr>
            <w:r w:rsidRPr="00BA4A59">
              <w:rPr>
                <w:rFonts w:eastAsia="Times New Roman"/>
                <w:b/>
                <w:color w:val="000000"/>
                <w:lang w:eastAsia="es-MX"/>
              </w:rPr>
              <w:t xml:space="preserve">5.5 </w:t>
            </w:r>
            <w:r w:rsidR="00690BCC" w:rsidRPr="00BA4A59">
              <w:rPr>
                <w:rFonts w:eastAsia="Times New Roman"/>
                <w:b/>
                <w:color w:val="000000"/>
                <w:lang w:eastAsia="es-MX"/>
              </w:rPr>
              <w:t>Ámbito</w:t>
            </w:r>
            <w:r w:rsidRPr="00BA4A59">
              <w:rPr>
                <w:rFonts w:eastAsia="Times New Roman"/>
                <w:b/>
                <w:color w:val="000000"/>
                <w:lang w:eastAsia="es-MX"/>
              </w:rPr>
              <w:t xml:space="preserve"> Gubernamental al que Pertenece(n) el(los) Programas):</w:t>
            </w:r>
            <w:r w:rsidR="003E6E57" w:rsidRPr="00BA4A59">
              <w:rPr>
                <w:rFonts w:eastAsia="Times New Roman"/>
                <w:b/>
                <w:color w:val="000000"/>
                <w:lang w:eastAsia="es-MX"/>
              </w:rPr>
              <w:t xml:space="preserve"> </w:t>
            </w:r>
            <w:r w:rsidR="003E6E57" w:rsidRPr="00BA4A59">
              <w:rPr>
                <w:rFonts w:eastAsia="Times New Roman"/>
                <w:color w:val="000000"/>
                <w:lang w:eastAsia="es-MX"/>
              </w:rPr>
              <w:t>Seleccionar con una (X), el correspondiente</w:t>
            </w:r>
          </w:p>
        </w:tc>
      </w:tr>
      <w:tr w:rsidR="00690BCC" w:rsidRPr="00E1388F" w14:paraId="3D7D321C" w14:textId="77777777" w:rsidTr="00517737">
        <w:trPr>
          <w:trHeight w:val="406"/>
          <w:tblCellSpacing w:w="20" w:type="dxa"/>
        </w:trPr>
        <w:tc>
          <w:tcPr>
            <w:tcW w:w="3963" w:type="dxa"/>
            <w:gridSpan w:val="3"/>
            <w:shd w:val="clear" w:color="000000" w:fill="FFFFFF"/>
            <w:noWrap/>
            <w:vAlign w:val="center"/>
            <w:hideMark/>
          </w:tcPr>
          <w:p w14:paraId="7ED2147B"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Federal:</w:t>
            </w:r>
            <w:r w:rsidR="00D71101">
              <w:rPr>
                <w:rFonts w:eastAsia="Times New Roman"/>
                <w:color w:val="000000"/>
                <w:lang w:eastAsia="es-MX"/>
              </w:rPr>
              <w:t xml:space="preserve"> X</w:t>
            </w:r>
          </w:p>
        </w:tc>
        <w:tc>
          <w:tcPr>
            <w:tcW w:w="4365" w:type="dxa"/>
            <w:gridSpan w:val="4"/>
            <w:shd w:val="clear" w:color="000000" w:fill="FFFFFF"/>
            <w:noWrap/>
            <w:vAlign w:val="center"/>
            <w:hideMark/>
          </w:tcPr>
          <w:p w14:paraId="5C68C1DF"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Estatal:</w:t>
            </w:r>
            <w:r w:rsidR="00D71101">
              <w:rPr>
                <w:rFonts w:eastAsia="Times New Roman"/>
                <w:color w:val="000000"/>
                <w:lang w:eastAsia="es-MX"/>
              </w:rPr>
              <w:t xml:space="preserve"> X</w:t>
            </w:r>
          </w:p>
        </w:tc>
        <w:tc>
          <w:tcPr>
            <w:tcW w:w="1499" w:type="dxa"/>
            <w:gridSpan w:val="2"/>
            <w:shd w:val="clear" w:color="000000" w:fill="FFFFFF"/>
            <w:noWrap/>
            <w:vAlign w:val="center"/>
            <w:hideMark/>
          </w:tcPr>
          <w:p w14:paraId="39E26659"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Local:</w:t>
            </w:r>
          </w:p>
        </w:tc>
      </w:tr>
      <w:tr w:rsidR="00690BCC" w:rsidRPr="00E1388F" w14:paraId="1D7761D1" w14:textId="77777777" w:rsidTr="00517737">
        <w:trPr>
          <w:trHeight w:val="531"/>
          <w:tblCellSpacing w:w="20" w:type="dxa"/>
        </w:trPr>
        <w:tc>
          <w:tcPr>
            <w:tcW w:w="9907" w:type="dxa"/>
            <w:gridSpan w:val="9"/>
            <w:shd w:val="clear" w:color="000000" w:fill="FFFFFF"/>
            <w:noWrap/>
            <w:vAlign w:val="center"/>
            <w:hideMark/>
          </w:tcPr>
          <w:p w14:paraId="06F8247B" w14:textId="77777777" w:rsidR="00E1388F" w:rsidRDefault="00E1388F" w:rsidP="00D71101">
            <w:pPr>
              <w:spacing w:after="0" w:line="240" w:lineRule="auto"/>
              <w:rPr>
                <w:rFonts w:eastAsia="Times New Roman"/>
                <w:color w:val="000000"/>
                <w:lang w:eastAsia="es-MX"/>
              </w:rPr>
            </w:pPr>
            <w:r w:rsidRPr="00BA4A59">
              <w:rPr>
                <w:rFonts w:eastAsia="Times New Roman"/>
                <w:b/>
                <w:color w:val="000000"/>
                <w:lang w:eastAsia="es-MX"/>
              </w:rPr>
              <w:t>5.6 Nombre de la(s) Unidad(es) Administrativa(s) y de (los) titular(es) a cargo del (los) Programa(s):</w:t>
            </w:r>
            <w:r w:rsidR="00601986" w:rsidRPr="00BA4A59">
              <w:rPr>
                <w:rFonts w:eastAsia="Times New Roman"/>
                <w:b/>
                <w:color w:val="000000"/>
                <w:lang w:eastAsia="es-MX"/>
              </w:rPr>
              <w:t xml:space="preserve"> </w:t>
            </w:r>
          </w:p>
          <w:p w14:paraId="789C4105" w14:textId="77777777" w:rsidR="00D71101" w:rsidRPr="00BA4A59" w:rsidRDefault="00D71101" w:rsidP="00D71101">
            <w:pPr>
              <w:spacing w:after="0" w:line="240" w:lineRule="auto"/>
              <w:rPr>
                <w:rFonts w:eastAsia="Times New Roman"/>
                <w:b/>
                <w:color w:val="000000"/>
                <w:lang w:eastAsia="es-MX"/>
              </w:rPr>
            </w:pPr>
            <w:r>
              <w:rPr>
                <w:rFonts w:eastAsia="Times New Roman"/>
                <w:color w:val="000000"/>
                <w:lang w:eastAsia="es-MX"/>
              </w:rPr>
              <w:t>Dirección de Planeación y Operación de Recursos Federales y Estatales Gustavo Guzmán Cázares</w:t>
            </w:r>
          </w:p>
        </w:tc>
      </w:tr>
      <w:tr w:rsidR="00690BCC" w:rsidRPr="00E1388F" w14:paraId="52A76B91" w14:textId="77777777" w:rsidTr="00517737">
        <w:trPr>
          <w:trHeight w:val="531"/>
          <w:tblCellSpacing w:w="20" w:type="dxa"/>
        </w:trPr>
        <w:tc>
          <w:tcPr>
            <w:tcW w:w="9907" w:type="dxa"/>
            <w:gridSpan w:val="9"/>
            <w:shd w:val="clear" w:color="000000" w:fill="FFFFFF"/>
            <w:noWrap/>
            <w:vAlign w:val="center"/>
            <w:hideMark/>
          </w:tcPr>
          <w:p w14:paraId="07F0524A" w14:textId="77777777" w:rsidR="00D71101" w:rsidRDefault="00E1388F" w:rsidP="0091170D">
            <w:pPr>
              <w:spacing w:after="0" w:line="240" w:lineRule="auto"/>
              <w:rPr>
                <w:rFonts w:eastAsia="Times New Roman"/>
                <w:color w:val="000000"/>
                <w:lang w:eastAsia="es-MX"/>
              </w:rPr>
            </w:pPr>
            <w:r w:rsidRPr="00BA4A59">
              <w:rPr>
                <w:rFonts w:eastAsia="Times New Roman"/>
                <w:b/>
                <w:color w:val="000000"/>
                <w:lang w:eastAsia="es-MX"/>
              </w:rPr>
              <w:t>5.6.1 Nombre(s) de la(s) Unidad(es) Administrativa(s) a cargo de (los) Programa(s):</w:t>
            </w:r>
            <w:r w:rsidR="00601986">
              <w:rPr>
                <w:rFonts w:eastAsia="Times New Roman"/>
                <w:color w:val="000000"/>
                <w:lang w:eastAsia="es-MX"/>
              </w:rPr>
              <w:t xml:space="preserve"> </w:t>
            </w:r>
          </w:p>
          <w:p w14:paraId="29919FAD" w14:textId="77777777" w:rsidR="00E1388F" w:rsidRPr="00E1388F" w:rsidRDefault="00D71101" w:rsidP="0091170D">
            <w:pPr>
              <w:spacing w:after="0" w:line="240" w:lineRule="auto"/>
              <w:rPr>
                <w:rFonts w:eastAsia="Times New Roman"/>
                <w:color w:val="000000"/>
                <w:lang w:eastAsia="es-MX"/>
              </w:rPr>
            </w:pPr>
            <w:r w:rsidRPr="00D71101">
              <w:rPr>
                <w:rFonts w:eastAsia="Times New Roman"/>
                <w:color w:val="000000"/>
                <w:lang w:eastAsia="es-MX"/>
              </w:rPr>
              <w:t>Dirección de Planeación y Operación de Recursos Federales y Estatales Gustavo Guzmán Cázares</w:t>
            </w:r>
          </w:p>
        </w:tc>
      </w:tr>
      <w:tr w:rsidR="00690BCC" w:rsidRPr="00E1388F" w14:paraId="6BC45003" w14:textId="77777777" w:rsidTr="00517737">
        <w:trPr>
          <w:trHeight w:val="703"/>
          <w:tblCellSpacing w:w="20" w:type="dxa"/>
        </w:trPr>
        <w:tc>
          <w:tcPr>
            <w:tcW w:w="9907" w:type="dxa"/>
            <w:gridSpan w:val="9"/>
            <w:shd w:val="clear" w:color="000000" w:fill="F2F2F2"/>
            <w:vAlign w:val="center"/>
            <w:hideMark/>
          </w:tcPr>
          <w:p w14:paraId="7BD66A98" w14:textId="77777777" w:rsidR="00E1388F" w:rsidRPr="0091170D" w:rsidRDefault="00E1388F" w:rsidP="0091170D">
            <w:pPr>
              <w:spacing w:after="0" w:line="240" w:lineRule="auto"/>
              <w:rPr>
                <w:rFonts w:eastAsia="Times New Roman"/>
                <w:b/>
                <w:color w:val="000000"/>
                <w:lang w:eastAsia="es-MX"/>
              </w:rPr>
            </w:pPr>
            <w:r w:rsidRPr="0091170D">
              <w:rPr>
                <w:rFonts w:eastAsia="Times New Roman"/>
                <w:b/>
                <w:color w:val="000000"/>
                <w:lang w:eastAsia="es-MX"/>
              </w:rPr>
              <w:t xml:space="preserve">5.6.2 Nombre(s) de (los) Titular (es) de la(s) Unidad(es) Administrativa(s) a Cargo de (los) Programa(s) (nombre completo, correo </w:t>
            </w:r>
            <w:r w:rsidR="00690BCC" w:rsidRPr="0091170D">
              <w:rPr>
                <w:rFonts w:eastAsia="Times New Roman"/>
                <w:b/>
                <w:color w:val="000000"/>
                <w:lang w:eastAsia="es-MX"/>
              </w:rPr>
              <w:t>electrónico</w:t>
            </w:r>
            <w:r w:rsidRPr="0091170D">
              <w:rPr>
                <w:rFonts w:eastAsia="Times New Roman"/>
                <w:b/>
                <w:color w:val="000000"/>
                <w:lang w:eastAsia="es-MX"/>
              </w:rPr>
              <w:t xml:space="preserve"> y teléfono con clave lada):</w:t>
            </w:r>
          </w:p>
        </w:tc>
      </w:tr>
      <w:tr w:rsidR="00807F0F" w:rsidRPr="00E1388F" w14:paraId="087B6568" w14:textId="77777777" w:rsidTr="00517737">
        <w:trPr>
          <w:trHeight w:val="515"/>
          <w:tblCellSpacing w:w="20" w:type="dxa"/>
        </w:trPr>
        <w:tc>
          <w:tcPr>
            <w:tcW w:w="2372" w:type="dxa"/>
            <w:shd w:val="clear" w:color="000000" w:fill="FFFFFF"/>
            <w:noWrap/>
            <w:vAlign w:val="center"/>
            <w:hideMark/>
          </w:tcPr>
          <w:p w14:paraId="653E7A99"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lastRenderedPageBreak/>
              <w:t>Nombre:</w:t>
            </w:r>
          </w:p>
        </w:tc>
        <w:tc>
          <w:tcPr>
            <w:tcW w:w="3501" w:type="dxa"/>
            <w:gridSpan w:val="3"/>
            <w:shd w:val="clear" w:color="000000" w:fill="FFFFFF"/>
            <w:noWrap/>
            <w:vAlign w:val="center"/>
            <w:hideMark/>
          </w:tcPr>
          <w:p w14:paraId="28F234FF" w14:textId="77777777" w:rsidR="00E1388F" w:rsidRPr="00E1388F" w:rsidRDefault="00D71101" w:rsidP="0091170D">
            <w:pPr>
              <w:spacing w:after="0" w:line="240" w:lineRule="auto"/>
              <w:rPr>
                <w:rFonts w:eastAsia="Times New Roman"/>
                <w:color w:val="000000"/>
                <w:lang w:eastAsia="es-MX"/>
              </w:rPr>
            </w:pPr>
            <w:r w:rsidRPr="00D71101">
              <w:rPr>
                <w:rFonts w:eastAsia="Times New Roman"/>
                <w:color w:val="000000"/>
                <w:lang w:eastAsia="es-MX"/>
              </w:rPr>
              <w:t>Gustavo Guzmán Cázares</w:t>
            </w:r>
          </w:p>
        </w:tc>
        <w:tc>
          <w:tcPr>
            <w:tcW w:w="2599" w:type="dxa"/>
            <w:gridSpan w:val="4"/>
            <w:shd w:val="clear" w:color="000000" w:fill="FFFFFF"/>
            <w:noWrap/>
            <w:vAlign w:val="center"/>
            <w:hideMark/>
          </w:tcPr>
          <w:p w14:paraId="6EE7E650"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Unidad Administrativa:</w:t>
            </w:r>
          </w:p>
        </w:tc>
        <w:tc>
          <w:tcPr>
            <w:tcW w:w="1315" w:type="dxa"/>
            <w:shd w:val="clear" w:color="000000" w:fill="FFFFFF"/>
            <w:noWrap/>
            <w:vAlign w:val="center"/>
            <w:hideMark/>
          </w:tcPr>
          <w:p w14:paraId="517B766F" w14:textId="5395560C" w:rsidR="00E1388F" w:rsidRPr="00E1388F" w:rsidRDefault="00D71101" w:rsidP="0091170D">
            <w:pPr>
              <w:spacing w:after="0" w:line="240" w:lineRule="auto"/>
              <w:rPr>
                <w:rFonts w:eastAsia="Times New Roman"/>
                <w:color w:val="000000"/>
                <w:lang w:eastAsia="es-MX"/>
              </w:rPr>
            </w:pPr>
            <w:r>
              <w:rPr>
                <w:rFonts w:eastAsia="Times New Roman"/>
                <w:color w:val="000000"/>
                <w:lang w:eastAsia="es-MX"/>
              </w:rPr>
              <w:t>SESESP</w:t>
            </w:r>
          </w:p>
        </w:tc>
      </w:tr>
      <w:tr w:rsidR="00807F0F" w:rsidRPr="00E1388F" w14:paraId="2DF44611" w14:textId="77777777" w:rsidTr="00517737">
        <w:trPr>
          <w:trHeight w:val="515"/>
          <w:tblCellSpacing w:w="20" w:type="dxa"/>
        </w:trPr>
        <w:tc>
          <w:tcPr>
            <w:tcW w:w="2372" w:type="dxa"/>
            <w:shd w:val="clear" w:color="000000" w:fill="FFFFFF"/>
            <w:noWrap/>
            <w:vAlign w:val="center"/>
            <w:hideMark/>
          </w:tcPr>
          <w:p w14:paraId="00EDFB89" w14:textId="77777777" w:rsidR="00E1388F" w:rsidRPr="00E1388F" w:rsidRDefault="00E1388F" w:rsidP="0091170D">
            <w:pPr>
              <w:spacing w:after="0" w:line="240" w:lineRule="auto"/>
              <w:rPr>
                <w:rFonts w:eastAsia="Times New Roman"/>
                <w:color w:val="000000"/>
                <w:lang w:eastAsia="es-MX"/>
              </w:rPr>
            </w:pPr>
            <w:r w:rsidRPr="00E1388F">
              <w:rPr>
                <w:rFonts w:eastAsia="Times New Roman"/>
                <w:color w:val="000000"/>
                <w:lang w:eastAsia="es-MX"/>
              </w:rPr>
              <w:t>Correo Electrónico:</w:t>
            </w:r>
          </w:p>
        </w:tc>
        <w:tc>
          <w:tcPr>
            <w:tcW w:w="3501" w:type="dxa"/>
            <w:gridSpan w:val="3"/>
            <w:shd w:val="clear" w:color="000000" w:fill="FFFFFF"/>
            <w:noWrap/>
            <w:vAlign w:val="center"/>
            <w:hideMark/>
          </w:tcPr>
          <w:p w14:paraId="44D76573" w14:textId="7B38F82A" w:rsidR="00E1388F" w:rsidRPr="00E1388F" w:rsidRDefault="00D71101" w:rsidP="0091170D">
            <w:pPr>
              <w:spacing w:after="0" w:line="240" w:lineRule="auto"/>
              <w:rPr>
                <w:rFonts w:eastAsia="Times New Roman"/>
                <w:color w:val="000000"/>
                <w:lang w:eastAsia="es-MX"/>
              </w:rPr>
            </w:pPr>
            <w:r>
              <w:rPr>
                <w:rFonts w:eastAsia="Times New Roman"/>
                <w:color w:val="000000"/>
                <w:lang w:eastAsia="es-MX"/>
              </w:rPr>
              <w:t>gustavo.guzman@sinaloa.gob.mx</w:t>
            </w:r>
          </w:p>
        </w:tc>
        <w:tc>
          <w:tcPr>
            <w:tcW w:w="2599" w:type="dxa"/>
            <w:gridSpan w:val="4"/>
            <w:shd w:val="clear" w:color="000000" w:fill="FFFFFF"/>
            <w:noWrap/>
            <w:vAlign w:val="center"/>
            <w:hideMark/>
          </w:tcPr>
          <w:p w14:paraId="165BCCD7" w14:textId="77777777" w:rsidR="005565AC" w:rsidRPr="00E1388F" w:rsidRDefault="00E1388F" w:rsidP="002272AA">
            <w:pPr>
              <w:spacing w:after="0" w:line="240" w:lineRule="auto"/>
              <w:rPr>
                <w:rFonts w:eastAsia="Times New Roman"/>
                <w:color w:val="000000"/>
                <w:lang w:eastAsia="es-MX"/>
              </w:rPr>
            </w:pPr>
            <w:r w:rsidRPr="00E1388F">
              <w:rPr>
                <w:rFonts w:eastAsia="Times New Roman"/>
                <w:color w:val="000000"/>
                <w:lang w:eastAsia="es-MX"/>
              </w:rPr>
              <w:t>Teléfono con lada</w:t>
            </w:r>
          </w:p>
        </w:tc>
        <w:tc>
          <w:tcPr>
            <w:tcW w:w="1315" w:type="dxa"/>
            <w:shd w:val="clear" w:color="000000" w:fill="FFFFFF"/>
            <w:noWrap/>
            <w:vAlign w:val="center"/>
            <w:hideMark/>
          </w:tcPr>
          <w:p w14:paraId="5ACE0DCD" w14:textId="2312EEB1" w:rsidR="00E1388F" w:rsidRPr="00E1388F" w:rsidRDefault="002272AA" w:rsidP="0091170D">
            <w:pPr>
              <w:spacing w:after="0" w:line="240" w:lineRule="auto"/>
              <w:rPr>
                <w:rFonts w:eastAsia="Times New Roman"/>
                <w:color w:val="000000"/>
                <w:lang w:eastAsia="es-MX"/>
              </w:rPr>
            </w:pPr>
            <w:r>
              <w:rPr>
                <w:rFonts w:eastAsia="Times New Roman"/>
                <w:color w:val="000000"/>
                <w:lang w:eastAsia="es-MX"/>
              </w:rPr>
              <w:t>(667) 8465805</w:t>
            </w:r>
          </w:p>
        </w:tc>
      </w:tr>
    </w:tbl>
    <w:p w14:paraId="0F30D6CA" w14:textId="77777777" w:rsidR="00D71101" w:rsidRDefault="00D71101" w:rsidP="002272AA">
      <w:pPr>
        <w:spacing w:after="0"/>
      </w:pPr>
    </w:p>
    <w:tbl>
      <w:tblPr>
        <w:tblW w:w="10170"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4914"/>
        <w:gridCol w:w="5316"/>
      </w:tblGrid>
      <w:tr w:rsidR="00690BCC" w:rsidRPr="0091170D" w14:paraId="02DB45F9" w14:textId="77777777" w:rsidTr="00173CDD">
        <w:trPr>
          <w:trHeight w:val="300"/>
          <w:tblCellSpacing w:w="20" w:type="dxa"/>
        </w:trPr>
        <w:tc>
          <w:tcPr>
            <w:tcW w:w="10090" w:type="dxa"/>
            <w:gridSpan w:val="2"/>
            <w:shd w:val="clear" w:color="000000" w:fill="8B1D31"/>
            <w:noWrap/>
            <w:vAlign w:val="center"/>
            <w:hideMark/>
          </w:tcPr>
          <w:p w14:paraId="5FACCA57"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6. Datos de Contratación de la Evaluación</w:t>
            </w:r>
          </w:p>
        </w:tc>
      </w:tr>
      <w:tr w:rsidR="00690BCC" w:rsidRPr="00E1388F" w14:paraId="043E229F" w14:textId="77777777" w:rsidTr="00173CDD">
        <w:trPr>
          <w:trHeight w:val="375"/>
          <w:tblCellSpacing w:w="20" w:type="dxa"/>
        </w:trPr>
        <w:tc>
          <w:tcPr>
            <w:tcW w:w="10090" w:type="dxa"/>
            <w:gridSpan w:val="2"/>
            <w:shd w:val="clear" w:color="000000" w:fill="FFFFFF"/>
            <w:noWrap/>
            <w:vAlign w:val="center"/>
            <w:hideMark/>
          </w:tcPr>
          <w:p w14:paraId="3118172F" w14:textId="77777777" w:rsidR="00E1388F" w:rsidRPr="00E1388F" w:rsidRDefault="00E1388F" w:rsidP="0091170D">
            <w:pPr>
              <w:spacing w:after="0" w:line="240" w:lineRule="auto"/>
              <w:rPr>
                <w:rFonts w:eastAsia="Times New Roman"/>
                <w:color w:val="000000"/>
                <w:lang w:eastAsia="es-MX"/>
              </w:rPr>
            </w:pPr>
            <w:r w:rsidRPr="0091170D">
              <w:rPr>
                <w:rFonts w:eastAsia="Times New Roman"/>
                <w:b/>
                <w:color w:val="000000"/>
                <w:lang w:eastAsia="es-MX"/>
              </w:rPr>
              <w:t>6.1 Tipo de Contratación:</w:t>
            </w:r>
            <w:r w:rsidR="00601986">
              <w:rPr>
                <w:rFonts w:eastAsia="Times New Roman"/>
                <w:color w:val="000000"/>
                <w:lang w:eastAsia="es-MX"/>
              </w:rPr>
              <w:t xml:space="preserve"> Seleccionar con una (X) el correspondiente </w:t>
            </w:r>
          </w:p>
        </w:tc>
      </w:tr>
      <w:tr w:rsidR="00690BCC" w:rsidRPr="00E1388F" w14:paraId="6813C852" w14:textId="77777777" w:rsidTr="00173CDD">
        <w:trPr>
          <w:trHeight w:val="345"/>
          <w:tblCellSpacing w:w="20" w:type="dxa"/>
        </w:trPr>
        <w:tc>
          <w:tcPr>
            <w:tcW w:w="4824" w:type="dxa"/>
            <w:shd w:val="clear" w:color="000000" w:fill="FFFFFF"/>
            <w:noWrap/>
            <w:vAlign w:val="center"/>
            <w:hideMark/>
          </w:tcPr>
          <w:p w14:paraId="5EC2EF3F" w14:textId="2150DF74" w:rsidR="00E1388F" w:rsidRPr="0091170D" w:rsidRDefault="00E1388F" w:rsidP="002D15A8">
            <w:pPr>
              <w:spacing w:after="0" w:line="240" w:lineRule="auto"/>
              <w:jc w:val="both"/>
              <w:rPr>
                <w:rFonts w:eastAsia="Times New Roman"/>
                <w:color w:val="000000"/>
                <w:lang w:eastAsia="es-MX"/>
              </w:rPr>
            </w:pPr>
            <w:r w:rsidRPr="0091170D">
              <w:rPr>
                <w:rFonts w:eastAsia="Times New Roman"/>
                <w:color w:val="000000"/>
                <w:lang w:eastAsia="es-MX"/>
              </w:rPr>
              <w:t>6.1.1 Adjudicación Directa:</w:t>
            </w:r>
            <w:r w:rsidR="002D15A8" w:rsidRPr="002D15A8">
              <w:t xml:space="preserve"> </w:t>
            </w:r>
            <w:r w:rsidR="002D15A8">
              <w:rPr>
                <w:rFonts w:eastAsia="Times New Roman"/>
                <w:color w:val="000000"/>
                <w:lang w:eastAsia="es-MX"/>
              </w:rPr>
              <w:t>A</w:t>
            </w:r>
            <w:r w:rsidR="002D15A8" w:rsidRPr="002D15A8">
              <w:rPr>
                <w:rFonts w:eastAsia="Times New Roman"/>
                <w:color w:val="000000"/>
                <w:lang w:eastAsia="es-MX"/>
              </w:rPr>
              <w:t>djudicación mediante al menos tres cotizaciones, seg</w:t>
            </w:r>
            <w:r w:rsidR="002D15A8">
              <w:rPr>
                <w:rFonts w:eastAsia="Times New Roman"/>
                <w:color w:val="000000"/>
                <w:lang w:eastAsia="es-MX"/>
              </w:rPr>
              <w:t>ú</w:t>
            </w:r>
            <w:r w:rsidR="002D15A8" w:rsidRPr="002D15A8">
              <w:rPr>
                <w:rFonts w:eastAsia="Times New Roman"/>
                <w:color w:val="000000"/>
                <w:lang w:eastAsia="es-MX"/>
              </w:rPr>
              <w:t>n lo dispuesto por el ar</w:t>
            </w:r>
            <w:r w:rsidR="002D15A8">
              <w:rPr>
                <w:rFonts w:eastAsia="Times New Roman"/>
                <w:color w:val="000000"/>
                <w:lang w:eastAsia="es-MX"/>
              </w:rPr>
              <w:t>tí</w:t>
            </w:r>
            <w:r w:rsidR="002D15A8" w:rsidRPr="002D15A8">
              <w:rPr>
                <w:rFonts w:eastAsia="Times New Roman"/>
                <w:color w:val="000000"/>
                <w:lang w:eastAsia="es-MX"/>
              </w:rPr>
              <w:t>culo 32 fracc</w:t>
            </w:r>
            <w:r w:rsidR="002D15A8">
              <w:rPr>
                <w:rFonts w:eastAsia="Times New Roman"/>
                <w:color w:val="000000"/>
                <w:lang w:eastAsia="es-MX"/>
              </w:rPr>
              <w:t>i</w:t>
            </w:r>
            <w:r w:rsidR="002D15A8" w:rsidRPr="002D15A8">
              <w:rPr>
                <w:rFonts w:eastAsia="Times New Roman"/>
                <w:color w:val="000000"/>
                <w:lang w:eastAsia="es-MX"/>
              </w:rPr>
              <w:t>ón l, 52 y demás relat</w:t>
            </w:r>
            <w:r w:rsidR="002D15A8">
              <w:rPr>
                <w:rFonts w:eastAsia="Times New Roman"/>
                <w:color w:val="000000"/>
                <w:lang w:eastAsia="es-MX"/>
              </w:rPr>
              <w:t>i</w:t>
            </w:r>
            <w:r w:rsidR="002D15A8" w:rsidRPr="002D15A8">
              <w:rPr>
                <w:rFonts w:eastAsia="Times New Roman"/>
                <w:color w:val="000000"/>
                <w:lang w:eastAsia="es-MX"/>
              </w:rPr>
              <w:t xml:space="preserve">vos de la ley de adquisiciones, </w:t>
            </w:r>
            <w:r w:rsidR="002D15A8">
              <w:rPr>
                <w:rFonts w:eastAsia="Times New Roman"/>
                <w:color w:val="000000"/>
                <w:lang w:eastAsia="es-MX"/>
              </w:rPr>
              <w:t xml:space="preserve">arrendamientos, servicios </w:t>
            </w:r>
            <w:r w:rsidR="002D15A8" w:rsidRPr="002D15A8">
              <w:rPr>
                <w:rFonts w:eastAsia="Times New Roman"/>
                <w:color w:val="000000"/>
                <w:lang w:eastAsia="es-MX"/>
              </w:rPr>
              <w:t>y adminis</w:t>
            </w:r>
            <w:r w:rsidR="002D15A8">
              <w:rPr>
                <w:rFonts w:eastAsia="Times New Roman"/>
                <w:color w:val="000000"/>
                <w:lang w:eastAsia="es-MX"/>
              </w:rPr>
              <w:t>t</w:t>
            </w:r>
            <w:r w:rsidR="002D15A8" w:rsidRPr="002D15A8">
              <w:rPr>
                <w:rFonts w:eastAsia="Times New Roman"/>
                <w:color w:val="000000"/>
                <w:lang w:eastAsia="es-MX"/>
              </w:rPr>
              <w:t>rac</w:t>
            </w:r>
            <w:r w:rsidR="002D15A8">
              <w:rPr>
                <w:rFonts w:eastAsia="Times New Roman"/>
                <w:color w:val="000000"/>
                <w:lang w:eastAsia="es-MX"/>
              </w:rPr>
              <w:t>i</w:t>
            </w:r>
            <w:r w:rsidR="002D15A8" w:rsidRPr="002D15A8">
              <w:rPr>
                <w:rFonts w:eastAsia="Times New Roman"/>
                <w:color w:val="000000"/>
                <w:lang w:eastAsia="es-MX"/>
              </w:rPr>
              <w:t>ó</w:t>
            </w:r>
            <w:r w:rsidR="002D15A8">
              <w:rPr>
                <w:rFonts w:eastAsia="Times New Roman"/>
                <w:color w:val="000000"/>
                <w:lang w:eastAsia="es-MX"/>
              </w:rPr>
              <w:t>n</w:t>
            </w:r>
            <w:r w:rsidR="002D15A8" w:rsidRPr="002D15A8">
              <w:rPr>
                <w:rFonts w:eastAsia="Times New Roman"/>
                <w:color w:val="000000"/>
                <w:lang w:eastAsia="es-MX"/>
              </w:rPr>
              <w:t xml:space="preserve"> </w:t>
            </w:r>
            <w:r w:rsidR="002D15A8">
              <w:rPr>
                <w:rFonts w:eastAsia="Times New Roman"/>
                <w:color w:val="000000"/>
                <w:lang w:eastAsia="es-MX"/>
              </w:rPr>
              <w:t>d</w:t>
            </w:r>
            <w:r w:rsidR="002D15A8" w:rsidRPr="002D15A8">
              <w:rPr>
                <w:rFonts w:eastAsia="Times New Roman"/>
                <w:color w:val="000000"/>
                <w:lang w:eastAsia="es-MX"/>
              </w:rPr>
              <w:t xml:space="preserve">e </w:t>
            </w:r>
            <w:r w:rsidR="002D15A8">
              <w:rPr>
                <w:rFonts w:eastAsia="Times New Roman"/>
                <w:color w:val="000000"/>
                <w:lang w:eastAsia="es-MX"/>
              </w:rPr>
              <w:t>bienes</w:t>
            </w:r>
            <w:r w:rsidR="002D15A8" w:rsidRPr="002D15A8">
              <w:rPr>
                <w:rFonts w:eastAsia="Times New Roman"/>
                <w:color w:val="000000"/>
                <w:lang w:eastAsia="es-MX"/>
              </w:rPr>
              <w:t xml:space="preserve"> muebles para el estado de Sinaloa</w:t>
            </w:r>
            <w:r w:rsidR="00173CDD">
              <w:rPr>
                <w:rFonts w:eastAsia="Times New Roman"/>
                <w:color w:val="000000"/>
                <w:lang w:eastAsia="es-MX"/>
              </w:rPr>
              <w:t>.</w:t>
            </w:r>
          </w:p>
        </w:tc>
        <w:tc>
          <w:tcPr>
            <w:tcW w:w="5226" w:type="dxa"/>
            <w:shd w:val="clear" w:color="000000" w:fill="FFFFFF"/>
            <w:noWrap/>
            <w:vAlign w:val="center"/>
            <w:hideMark/>
          </w:tcPr>
          <w:p w14:paraId="77613AA5" w14:textId="61B2489C" w:rsidR="00E1388F" w:rsidRPr="0091170D" w:rsidRDefault="00E1388F" w:rsidP="0091170D">
            <w:pPr>
              <w:spacing w:after="0" w:line="240" w:lineRule="auto"/>
              <w:rPr>
                <w:rFonts w:eastAsia="Times New Roman"/>
                <w:color w:val="000000"/>
                <w:lang w:eastAsia="es-MX"/>
              </w:rPr>
            </w:pPr>
            <w:r w:rsidRPr="0091170D">
              <w:rPr>
                <w:rFonts w:eastAsia="Times New Roman"/>
                <w:color w:val="000000"/>
                <w:lang w:eastAsia="es-MX"/>
              </w:rPr>
              <w:t>6.1.2 Invitación a Tres:</w:t>
            </w:r>
          </w:p>
        </w:tc>
      </w:tr>
      <w:tr w:rsidR="00690BCC" w:rsidRPr="00E1388F" w14:paraId="2C5825FC" w14:textId="77777777" w:rsidTr="00173CDD">
        <w:trPr>
          <w:trHeight w:val="446"/>
          <w:tblCellSpacing w:w="20" w:type="dxa"/>
        </w:trPr>
        <w:tc>
          <w:tcPr>
            <w:tcW w:w="4824" w:type="dxa"/>
            <w:shd w:val="clear" w:color="000000" w:fill="FFFFFF"/>
            <w:noWrap/>
            <w:vAlign w:val="center"/>
            <w:hideMark/>
          </w:tcPr>
          <w:p w14:paraId="59F8DFB5" w14:textId="68193FE8" w:rsidR="00E1388F" w:rsidRPr="0091170D" w:rsidRDefault="00E1388F" w:rsidP="00724513">
            <w:pPr>
              <w:spacing w:after="0" w:line="240" w:lineRule="auto"/>
              <w:rPr>
                <w:rFonts w:eastAsia="Times New Roman"/>
                <w:color w:val="000000"/>
                <w:lang w:eastAsia="es-MX"/>
              </w:rPr>
            </w:pPr>
            <w:r w:rsidRPr="0091170D">
              <w:rPr>
                <w:rFonts w:eastAsia="Times New Roman"/>
                <w:color w:val="000000"/>
                <w:lang w:eastAsia="es-MX"/>
              </w:rPr>
              <w:t>6.1.3 Licitación Pública:</w:t>
            </w:r>
          </w:p>
        </w:tc>
        <w:tc>
          <w:tcPr>
            <w:tcW w:w="5226" w:type="dxa"/>
            <w:shd w:val="clear" w:color="000000" w:fill="FFFFFF"/>
            <w:noWrap/>
            <w:vAlign w:val="center"/>
            <w:hideMark/>
          </w:tcPr>
          <w:p w14:paraId="3BAB0E80" w14:textId="3B3D54DD" w:rsidR="00E1388F" w:rsidRPr="0091170D" w:rsidRDefault="00E1388F" w:rsidP="007E1F01">
            <w:pPr>
              <w:spacing w:after="0" w:line="240" w:lineRule="auto"/>
              <w:rPr>
                <w:rFonts w:eastAsia="Times New Roman"/>
                <w:color w:val="000000"/>
                <w:lang w:eastAsia="es-MX"/>
              </w:rPr>
            </w:pPr>
            <w:r w:rsidRPr="0091170D">
              <w:rPr>
                <w:rFonts w:eastAsia="Times New Roman"/>
                <w:color w:val="000000"/>
                <w:lang w:eastAsia="es-MX"/>
              </w:rPr>
              <w:t>6.1.4 Licitación Pública:</w:t>
            </w:r>
          </w:p>
        </w:tc>
      </w:tr>
      <w:tr w:rsidR="0091170D" w:rsidRPr="00E1388F" w14:paraId="7B61CB07" w14:textId="77777777" w:rsidTr="00173CDD">
        <w:trPr>
          <w:trHeight w:val="390"/>
          <w:tblCellSpacing w:w="20" w:type="dxa"/>
        </w:trPr>
        <w:tc>
          <w:tcPr>
            <w:tcW w:w="10090" w:type="dxa"/>
            <w:gridSpan w:val="2"/>
            <w:shd w:val="clear" w:color="000000" w:fill="FFFFFF"/>
            <w:noWrap/>
            <w:vAlign w:val="center"/>
            <w:hideMark/>
          </w:tcPr>
          <w:p w14:paraId="4CB5F416" w14:textId="77777777" w:rsidR="0091170D" w:rsidRPr="0091170D" w:rsidRDefault="0091170D" w:rsidP="0091170D">
            <w:pPr>
              <w:spacing w:after="0" w:line="240" w:lineRule="auto"/>
              <w:rPr>
                <w:rFonts w:eastAsia="Times New Roman"/>
                <w:color w:val="000000"/>
                <w:lang w:eastAsia="es-MX"/>
              </w:rPr>
            </w:pPr>
            <w:r w:rsidRPr="0091170D">
              <w:rPr>
                <w:rFonts w:eastAsia="Times New Roman"/>
                <w:color w:val="000000"/>
                <w:lang w:eastAsia="es-MX"/>
              </w:rPr>
              <w:t>6.1.5 Otro: (señalar) </w:t>
            </w:r>
          </w:p>
        </w:tc>
      </w:tr>
      <w:tr w:rsidR="00690BCC" w:rsidRPr="00E1388F" w14:paraId="301E57D2" w14:textId="77777777" w:rsidTr="00173CDD">
        <w:trPr>
          <w:trHeight w:val="390"/>
          <w:tblCellSpacing w:w="20" w:type="dxa"/>
        </w:trPr>
        <w:tc>
          <w:tcPr>
            <w:tcW w:w="10090" w:type="dxa"/>
            <w:gridSpan w:val="2"/>
            <w:shd w:val="clear" w:color="000000" w:fill="FFFFFF"/>
            <w:noWrap/>
            <w:vAlign w:val="center"/>
            <w:hideMark/>
          </w:tcPr>
          <w:p w14:paraId="71B6BFFB" w14:textId="77777777" w:rsidR="005565AC" w:rsidRDefault="00E1388F" w:rsidP="005565AC">
            <w:pPr>
              <w:spacing w:after="0" w:line="240" w:lineRule="auto"/>
              <w:rPr>
                <w:rFonts w:eastAsia="Times New Roman"/>
                <w:b/>
                <w:color w:val="000000"/>
                <w:lang w:eastAsia="es-MX"/>
              </w:rPr>
            </w:pPr>
            <w:r w:rsidRPr="0091170D">
              <w:rPr>
                <w:rFonts w:eastAsia="Times New Roman"/>
                <w:b/>
                <w:color w:val="000000"/>
                <w:lang w:eastAsia="es-MX"/>
              </w:rPr>
              <w:t>6.2 Unidad Administrativa Responsable de Contratar la Evaluación:</w:t>
            </w:r>
            <w:r w:rsidR="00601986" w:rsidRPr="0091170D">
              <w:rPr>
                <w:rFonts w:eastAsia="Times New Roman"/>
                <w:b/>
                <w:color w:val="000000"/>
                <w:lang w:eastAsia="es-MX"/>
              </w:rPr>
              <w:t xml:space="preserve"> </w:t>
            </w:r>
          </w:p>
          <w:p w14:paraId="0AEFE484" w14:textId="77777777" w:rsidR="00E1388F" w:rsidRPr="00E1388F" w:rsidRDefault="005565AC" w:rsidP="005565AC">
            <w:pPr>
              <w:spacing w:after="0" w:line="240" w:lineRule="auto"/>
              <w:rPr>
                <w:rFonts w:eastAsia="Times New Roman"/>
                <w:color w:val="000000"/>
                <w:lang w:eastAsia="es-MX"/>
              </w:rPr>
            </w:pPr>
            <w:r>
              <w:rPr>
                <w:rFonts w:eastAsia="Times New Roman"/>
                <w:color w:val="000000"/>
                <w:lang w:eastAsia="es-MX"/>
              </w:rPr>
              <w:t>Dirección de Bienes y Suministros de la SAF.</w:t>
            </w:r>
          </w:p>
        </w:tc>
      </w:tr>
      <w:tr w:rsidR="00690BCC" w:rsidRPr="00E1388F" w14:paraId="262573FF" w14:textId="77777777" w:rsidTr="00173CDD">
        <w:trPr>
          <w:trHeight w:val="390"/>
          <w:tblCellSpacing w:w="20" w:type="dxa"/>
        </w:trPr>
        <w:tc>
          <w:tcPr>
            <w:tcW w:w="10090" w:type="dxa"/>
            <w:gridSpan w:val="2"/>
            <w:shd w:val="clear" w:color="000000" w:fill="FFFFFF"/>
            <w:noWrap/>
            <w:vAlign w:val="center"/>
            <w:hideMark/>
          </w:tcPr>
          <w:p w14:paraId="171BF227" w14:textId="1672D588"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6.3 C</w:t>
            </w:r>
            <w:r w:rsidR="00690BCC" w:rsidRPr="0091170D">
              <w:rPr>
                <w:rFonts w:eastAsia="Times New Roman"/>
                <w:b/>
                <w:color w:val="000000"/>
                <w:lang w:eastAsia="es-MX"/>
              </w:rPr>
              <w:t>osto Total de la Evaluación:</w:t>
            </w:r>
            <w:r w:rsidR="00690BCC">
              <w:rPr>
                <w:rFonts w:eastAsia="Times New Roman"/>
                <w:color w:val="000000"/>
                <w:lang w:eastAsia="es-MX"/>
              </w:rPr>
              <w:t xml:space="preserve"> </w:t>
            </w:r>
            <w:r w:rsidR="00724513" w:rsidRPr="00DF4DCD">
              <w:rPr>
                <w:rFonts w:eastAsia="Times New Roman"/>
                <w:bCs/>
                <w:color w:val="000000"/>
                <w:lang w:eastAsia="es-MX"/>
              </w:rPr>
              <w:t>$</w:t>
            </w:r>
            <w:r w:rsidR="00DF4DCD">
              <w:rPr>
                <w:rFonts w:eastAsia="Times New Roman"/>
                <w:bCs/>
                <w:color w:val="000000"/>
                <w:lang w:eastAsia="es-MX"/>
              </w:rPr>
              <w:t xml:space="preserve"> </w:t>
            </w:r>
            <w:r w:rsidR="00724513" w:rsidRPr="00DF4DCD">
              <w:rPr>
                <w:rFonts w:eastAsia="Times New Roman"/>
                <w:bCs/>
                <w:color w:val="000000"/>
                <w:lang w:eastAsia="es-MX"/>
              </w:rPr>
              <w:t>924,520.00</w:t>
            </w:r>
          </w:p>
        </w:tc>
      </w:tr>
      <w:tr w:rsidR="00690BCC" w:rsidRPr="00E1388F" w14:paraId="7626A2D4" w14:textId="77777777" w:rsidTr="00173CDD">
        <w:trPr>
          <w:trHeight w:val="390"/>
          <w:tblCellSpacing w:w="20" w:type="dxa"/>
        </w:trPr>
        <w:tc>
          <w:tcPr>
            <w:tcW w:w="10090" w:type="dxa"/>
            <w:gridSpan w:val="2"/>
            <w:shd w:val="clear" w:color="000000" w:fill="FFFFFF"/>
            <w:noWrap/>
            <w:vAlign w:val="center"/>
            <w:hideMark/>
          </w:tcPr>
          <w:p w14:paraId="05DFCF76" w14:textId="56ED4913"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6.4 Fuente de Financiamiento:</w:t>
            </w:r>
            <w:r w:rsidR="00601986" w:rsidRPr="0091170D">
              <w:rPr>
                <w:rFonts w:eastAsia="Times New Roman"/>
                <w:b/>
                <w:color w:val="000000"/>
                <w:lang w:eastAsia="es-MX"/>
              </w:rPr>
              <w:t xml:space="preserve"> </w:t>
            </w:r>
            <w:r w:rsidR="00724513" w:rsidRPr="00DF4DCD">
              <w:rPr>
                <w:rFonts w:eastAsia="Times New Roman"/>
                <w:bCs/>
                <w:color w:val="000000"/>
                <w:lang w:eastAsia="es-MX"/>
              </w:rPr>
              <w:t>Fondo de Aportaciones para la Seguridad Pública (FASP)</w:t>
            </w:r>
          </w:p>
        </w:tc>
      </w:tr>
    </w:tbl>
    <w:p w14:paraId="43418B5D" w14:textId="77777777" w:rsidR="00EC63B6" w:rsidRDefault="00EC63B6" w:rsidP="002272AA">
      <w:pPr>
        <w:spacing w:after="0"/>
      </w:pPr>
    </w:p>
    <w:tbl>
      <w:tblPr>
        <w:tblW w:w="1010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138"/>
      </w:tblGrid>
      <w:tr w:rsidR="00690BCC" w:rsidRPr="0091170D" w14:paraId="52D10A8F" w14:textId="77777777" w:rsidTr="0047370C">
        <w:trPr>
          <w:trHeight w:val="300"/>
          <w:tblCellSpacing w:w="20" w:type="dxa"/>
        </w:trPr>
        <w:tc>
          <w:tcPr>
            <w:tcW w:w="10028" w:type="dxa"/>
            <w:shd w:val="clear" w:color="000000" w:fill="8B1D31"/>
            <w:noWrap/>
            <w:vAlign w:val="center"/>
            <w:hideMark/>
          </w:tcPr>
          <w:p w14:paraId="448C3B70"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7. Difusión de la Evaluación</w:t>
            </w:r>
          </w:p>
        </w:tc>
      </w:tr>
      <w:tr w:rsidR="00690BCC" w:rsidRPr="00E1388F" w14:paraId="5D108309" w14:textId="77777777" w:rsidTr="0047370C">
        <w:trPr>
          <w:trHeight w:val="390"/>
          <w:tblCellSpacing w:w="20" w:type="dxa"/>
        </w:trPr>
        <w:tc>
          <w:tcPr>
            <w:tcW w:w="10028" w:type="dxa"/>
            <w:shd w:val="clear" w:color="000000" w:fill="FFFFFF"/>
            <w:noWrap/>
            <w:hideMark/>
          </w:tcPr>
          <w:p w14:paraId="388EE5BE" w14:textId="0628191C" w:rsidR="0089095B" w:rsidRPr="00E1388F" w:rsidRDefault="00E1388F" w:rsidP="0089095B">
            <w:pPr>
              <w:spacing w:after="0" w:line="240" w:lineRule="auto"/>
              <w:rPr>
                <w:rFonts w:eastAsia="Times New Roman"/>
                <w:color w:val="000000"/>
                <w:lang w:eastAsia="es-MX"/>
              </w:rPr>
            </w:pPr>
            <w:r w:rsidRPr="0091170D">
              <w:rPr>
                <w:rFonts w:eastAsia="Times New Roman"/>
                <w:b/>
                <w:color w:val="000000"/>
                <w:lang w:eastAsia="es-MX"/>
              </w:rPr>
              <w:t>7.1 Difusión en Internet de la Evaluación:</w:t>
            </w:r>
            <w:r w:rsidR="00601986">
              <w:rPr>
                <w:rFonts w:eastAsia="Times New Roman"/>
                <w:color w:val="000000"/>
                <w:lang w:eastAsia="es-MX"/>
              </w:rPr>
              <w:t xml:space="preserve"> </w:t>
            </w:r>
            <w:r w:rsidR="002D15A8">
              <w:rPr>
                <w:rFonts w:eastAsia="Times New Roman"/>
                <w:color w:val="000000"/>
                <w:lang w:eastAsia="es-MX"/>
              </w:rPr>
              <w:t>Página de internet del SESESP</w:t>
            </w:r>
          </w:p>
        </w:tc>
      </w:tr>
      <w:tr w:rsidR="00690BCC" w:rsidRPr="00E1388F" w14:paraId="0F02B199" w14:textId="77777777" w:rsidTr="0047370C">
        <w:trPr>
          <w:trHeight w:val="390"/>
          <w:tblCellSpacing w:w="20" w:type="dxa"/>
        </w:trPr>
        <w:tc>
          <w:tcPr>
            <w:tcW w:w="10028" w:type="dxa"/>
            <w:shd w:val="clear" w:color="000000" w:fill="FFFFFF"/>
            <w:noWrap/>
            <w:hideMark/>
          </w:tcPr>
          <w:p w14:paraId="5D7FE861" w14:textId="44734D8C" w:rsidR="00E1388F" w:rsidRPr="00E1388F" w:rsidRDefault="00E1388F" w:rsidP="002D15A8">
            <w:pPr>
              <w:spacing w:after="0" w:line="240" w:lineRule="auto"/>
              <w:rPr>
                <w:rFonts w:eastAsia="Times New Roman"/>
                <w:color w:val="000000"/>
                <w:lang w:eastAsia="es-MX"/>
              </w:rPr>
            </w:pPr>
            <w:r w:rsidRPr="0091170D">
              <w:rPr>
                <w:rFonts w:eastAsia="Times New Roman"/>
                <w:b/>
                <w:color w:val="000000"/>
                <w:lang w:eastAsia="es-MX"/>
              </w:rPr>
              <w:t>7.2 Difusión en Internet del Formato</w:t>
            </w:r>
            <w:r w:rsidR="00E474E8" w:rsidRPr="0091170D">
              <w:rPr>
                <w:rFonts w:eastAsia="Times New Roman"/>
                <w:b/>
                <w:color w:val="000000"/>
                <w:lang w:eastAsia="es-MX"/>
              </w:rPr>
              <w:t xml:space="preserve">: </w:t>
            </w:r>
            <w:r w:rsidR="00DF4DCD">
              <w:rPr>
                <w:rFonts w:eastAsia="Times New Roman"/>
                <w:color w:val="000000"/>
                <w:lang w:eastAsia="es-MX"/>
              </w:rPr>
              <w:t>Página de internet del SESESP</w:t>
            </w:r>
          </w:p>
        </w:tc>
      </w:tr>
    </w:tbl>
    <w:p w14:paraId="756404AF" w14:textId="77777777" w:rsidR="00E474E8" w:rsidRDefault="00E474E8"/>
    <w:sectPr w:rsidR="00E474E8" w:rsidSect="00E1388F">
      <w:headerReference w:type="default" r:id="rId8"/>
      <w:headerReference w:type="first" r:id="rId9"/>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8806F" w14:textId="77777777" w:rsidR="00A77EF1" w:rsidRDefault="00A77EF1" w:rsidP="008E5209">
      <w:pPr>
        <w:spacing w:after="0" w:line="240" w:lineRule="auto"/>
      </w:pPr>
      <w:r>
        <w:separator/>
      </w:r>
    </w:p>
  </w:endnote>
  <w:endnote w:type="continuationSeparator" w:id="0">
    <w:p w14:paraId="2A5D2667" w14:textId="77777777" w:rsidR="00A77EF1" w:rsidRDefault="00A77EF1"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ontserrat Light">
    <w:altName w:val="Courier New"/>
    <w:panose1 w:val="000004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2EEAA" w14:textId="77777777" w:rsidR="00A77EF1" w:rsidRDefault="00A77EF1" w:rsidP="008E5209">
      <w:pPr>
        <w:spacing w:after="0" w:line="240" w:lineRule="auto"/>
      </w:pPr>
      <w:r>
        <w:separator/>
      </w:r>
    </w:p>
  </w:footnote>
  <w:footnote w:type="continuationSeparator" w:id="0">
    <w:p w14:paraId="65B7237E" w14:textId="77777777" w:rsidR="00A77EF1" w:rsidRDefault="00A77EF1"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E6789" w14:textId="77777777" w:rsidR="00A77EF1" w:rsidRDefault="00A77EF1"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177C4655" wp14:editId="15A2FB21">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29344C3C" w14:textId="77777777" w:rsidR="00A77EF1" w:rsidRDefault="00A77EF1" w:rsidP="00DF12BB"/>
                        <w:p w14:paraId="565D6639" w14:textId="77777777" w:rsidR="00A77EF1" w:rsidRPr="00AA3309" w:rsidRDefault="00A77EF1"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C4655"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29344C3C" w14:textId="77777777" w:rsidR="00A77EF1" w:rsidRDefault="00A77EF1" w:rsidP="00DF12BB"/>
                  <w:p w14:paraId="565D6639" w14:textId="77777777" w:rsidR="00A77EF1" w:rsidRPr="00AA3309" w:rsidRDefault="00A77EF1"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2888E912" wp14:editId="27622757">
          <wp:simplePos x="0" y="0"/>
          <wp:positionH relativeFrom="column">
            <wp:posOffset>-675640</wp:posOffset>
          </wp:positionH>
          <wp:positionV relativeFrom="paragraph">
            <wp:posOffset>-133350</wp:posOffset>
          </wp:positionV>
          <wp:extent cx="862330" cy="1410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6C76C749" w14:textId="77777777" w:rsidR="00A77EF1" w:rsidRDefault="00A77EF1" w:rsidP="00DF12BB">
    <w:pPr>
      <w:pStyle w:val="Encabezado"/>
      <w:ind w:right="141"/>
      <w:jc w:val="right"/>
      <w:rPr>
        <w:rFonts w:ascii="Montserrat Light" w:hAnsi="Montserrat Light" w:cs="Arial"/>
        <w:b/>
        <w:color w:val="861D31"/>
        <w:szCs w:val="20"/>
      </w:rPr>
    </w:pPr>
  </w:p>
  <w:p w14:paraId="23C83787" w14:textId="77777777" w:rsidR="00A77EF1" w:rsidRDefault="00A77EF1" w:rsidP="00DF12BB">
    <w:pPr>
      <w:pStyle w:val="Encabezado"/>
    </w:pPr>
  </w:p>
  <w:p w14:paraId="53070132" w14:textId="77777777" w:rsidR="00A77EF1" w:rsidRDefault="00A77EF1" w:rsidP="00DF12BB">
    <w:pPr>
      <w:pStyle w:val="Encabezado"/>
    </w:pPr>
  </w:p>
  <w:p w14:paraId="4EC5BC1F" w14:textId="77777777" w:rsidR="00A77EF1" w:rsidRPr="00DF12BB" w:rsidRDefault="00A77EF1" w:rsidP="002272AA">
    <w:pPr>
      <w:ind w:left="2832"/>
      <w:jc w:val="right"/>
      <w:rPr>
        <w:rFonts w:ascii="Montserrat Light" w:hAnsi="Montserrat Light" w:cs="Arial"/>
        <w:b/>
        <w:color w:val="861D31"/>
        <w:sz w:val="28"/>
      </w:rPr>
    </w:pPr>
    <w:r w:rsidRPr="0086126F">
      <w:rPr>
        <w:rFonts w:ascii="Montserrat Light" w:hAnsi="Montserrat Light" w:cs="Arial"/>
        <w:b/>
        <w:color w:val="861D31"/>
        <w:sz w:val="28"/>
      </w:rPr>
      <w:t>Formato para la Difusión de los Resultados de la E</w:t>
    </w:r>
    <w:r>
      <w:rPr>
        <w:rFonts w:ascii="Montserrat Light" w:hAnsi="Montserrat Light" w:cs="Arial"/>
        <w:b/>
        <w:color w:val="861D31"/>
        <w:sz w:val="28"/>
      </w:rPr>
      <w:t>valuación del Fondo de Aportaciones para la Seguridad Pública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1B346" w14:textId="77777777" w:rsidR="00A77EF1" w:rsidRDefault="00A77EF1"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7B8BF93D" wp14:editId="43E581AF">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7DF4A46C" w14:textId="77777777" w:rsidR="00A77EF1" w:rsidRDefault="00A77EF1" w:rsidP="00C759BF"/>
                        <w:p w14:paraId="2D54C17D" w14:textId="77777777" w:rsidR="00A77EF1" w:rsidRPr="00AA3309" w:rsidRDefault="00A77EF1"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BF93D"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7DF4A46C" w14:textId="77777777" w:rsidR="00A77EF1" w:rsidRDefault="00A77EF1" w:rsidP="00C759BF"/>
                  <w:p w14:paraId="2D54C17D" w14:textId="77777777" w:rsidR="00A77EF1" w:rsidRPr="00AA3309" w:rsidRDefault="00A77EF1"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56ACFF66" wp14:editId="45CECA50">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4A974FE2" w14:textId="77777777" w:rsidR="00A77EF1" w:rsidRDefault="00A77EF1" w:rsidP="00DA1D55">
    <w:pPr>
      <w:pStyle w:val="Encabezado"/>
      <w:ind w:right="141"/>
      <w:jc w:val="right"/>
      <w:rPr>
        <w:rFonts w:ascii="Montserrat Light" w:hAnsi="Montserrat Light" w:cs="Arial"/>
        <w:b/>
        <w:color w:val="861D31"/>
        <w:szCs w:val="20"/>
      </w:rPr>
    </w:pPr>
  </w:p>
  <w:p w14:paraId="29E06792" w14:textId="77777777" w:rsidR="00A77EF1" w:rsidRDefault="00A77EF1">
    <w:pPr>
      <w:pStyle w:val="Encabezado"/>
    </w:pPr>
  </w:p>
  <w:p w14:paraId="20F2170B" w14:textId="77777777" w:rsidR="00A77EF1" w:rsidRDefault="00A77EF1">
    <w:pPr>
      <w:pStyle w:val="Encabezado"/>
    </w:pPr>
  </w:p>
  <w:p w14:paraId="026AD405" w14:textId="77777777" w:rsidR="00A77EF1" w:rsidRPr="0086126F" w:rsidRDefault="00A77EF1" w:rsidP="002272AA">
    <w:pPr>
      <w:ind w:left="2832"/>
      <w:jc w:val="right"/>
      <w:rPr>
        <w:rFonts w:ascii="Montserrat Light" w:hAnsi="Montserrat Light" w:cs="Arial"/>
        <w:b/>
        <w:color w:val="861D31"/>
        <w:sz w:val="28"/>
      </w:rPr>
    </w:pPr>
    <w:r w:rsidRPr="0086126F">
      <w:rPr>
        <w:rFonts w:ascii="Montserrat Light" w:hAnsi="Montserrat Light" w:cs="Arial"/>
        <w:b/>
        <w:color w:val="861D31"/>
        <w:sz w:val="28"/>
      </w:rPr>
      <w:t>Formato para la Difusión de los Resultados de la E</w:t>
    </w:r>
    <w:r>
      <w:rPr>
        <w:rFonts w:ascii="Montserrat Light" w:hAnsi="Montserrat Light" w:cs="Arial"/>
        <w:b/>
        <w:color w:val="861D31"/>
        <w:sz w:val="28"/>
      </w:rPr>
      <w:t>valuación del Fondo de Aportaciones para la Seguridad Pública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84C4E"/>
    <w:multiLevelType w:val="hybridMultilevel"/>
    <w:tmpl w:val="0A5A6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5313D"/>
    <w:multiLevelType w:val="hybridMultilevel"/>
    <w:tmpl w:val="6F08DE0C"/>
    <w:lvl w:ilvl="0" w:tplc="95960736">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2455CD"/>
    <w:multiLevelType w:val="hybridMultilevel"/>
    <w:tmpl w:val="B0D20AEE"/>
    <w:lvl w:ilvl="0" w:tplc="49444308">
      <w:start w:val="7"/>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614E9"/>
    <w:multiLevelType w:val="hybridMultilevel"/>
    <w:tmpl w:val="403816EA"/>
    <w:lvl w:ilvl="0" w:tplc="5AB0A7A0">
      <w:start w:val="2"/>
      <w:numFmt w:val="bullet"/>
      <w:lvlText w:val="•"/>
      <w:lvlJc w:val="left"/>
      <w:pPr>
        <w:ind w:left="927" w:hanging="360"/>
      </w:pPr>
      <w:rPr>
        <w:rFonts w:ascii="Calibri" w:eastAsiaTheme="minorHAnsi" w:hAnsi="Calibri" w:cs="Calibr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06F10E83"/>
    <w:multiLevelType w:val="hybridMultilevel"/>
    <w:tmpl w:val="7012CD5A"/>
    <w:lvl w:ilvl="0" w:tplc="4BBE313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8276C16"/>
    <w:multiLevelType w:val="hybridMultilevel"/>
    <w:tmpl w:val="C8F633FC"/>
    <w:lvl w:ilvl="0" w:tplc="AA8C33F0">
      <w:start w:val="4"/>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6" w15:restartNumberingAfterBreak="0">
    <w:nsid w:val="08B6524C"/>
    <w:multiLevelType w:val="hybridMultilevel"/>
    <w:tmpl w:val="595E0158"/>
    <w:lvl w:ilvl="0" w:tplc="31947FE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91F28D9"/>
    <w:multiLevelType w:val="hybridMultilevel"/>
    <w:tmpl w:val="8FF8A2E8"/>
    <w:lvl w:ilvl="0" w:tplc="84649956">
      <w:start w:val="7"/>
      <w:numFmt w:val="upp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7D5D51"/>
    <w:multiLevelType w:val="hybridMultilevel"/>
    <w:tmpl w:val="54303E4C"/>
    <w:lvl w:ilvl="0" w:tplc="BBDC7178">
      <w:start w:val="1"/>
      <w:numFmt w:val="bullet"/>
      <w:lvlText w:val=""/>
      <w:lvlJc w:val="left"/>
      <w:pPr>
        <w:ind w:left="720" w:hanging="360"/>
      </w:pPr>
      <w:rPr>
        <w:rFonts w:ascii="Wingdings" w:hAnsi="Wingdings" w:hint="default"/>
        <w:color w:val="F79646" w:themeColor="accent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BB00333"/>
    <w:multiLevelType w:val="multilevel"/>
    <w:tmpl w:val="2A0681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D13E4A"/>
    <w:multiLevelType w:val="hybridMultilevel"/>
    <w:tmpl w:val="D856DCE6"/>
    <w:lvl w:ilvl="0" w:tplc="A3CA052E">
      <w:start w:val="3"/>
      <w:numFmt w:val="upperLetter"/>
      <w:lvlText w:val="%1."/>
      <w:lvlJc w:val="left"/>
      <w:pPr>
        <w:ind w:left="15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CA149B"/>
    <w:multiLevelType w:val="hybridMultilevel"/>
    <w:tmpl w:val="CE787BD6"/>
    <w:lvl w:ilvl="0" w:tplc="BF42EB96">
      <w:start w:val="1"/>
      <w:numFmt w:val="bullet"/>
      <w:lvlText w:val=""/>
      <w:lvlJc w:val="left"/>
      <w:pPr>
        <w:ind w:left="360" w:hanging="360"/>
      </w:pPr>
      <w:rPr>
        <w:rFonts w:ascii="Symbol" w:hAnsi="Symbol" w:hint="default"/>
        <w:color w:val="F79646" w:themeColor="accent6"/>
      </w:rPr>
    </w:lvl>
    <w:lvl w:ilvl="1" w:tplc="080A0003" w:tentative="1">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12" w15:restartNumberingAfterBreak="0">
    <w:nsid w:val="190D3D8B"/>
    <w:multiLevelType w:val="hybridMultilevel"/>
    <w:tmpl w:val="7D1E4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7715F1"/>
    <w:multiLevelType w:val="hybridMultilevel"/>
    <w:tmpl w:val="193C59BA"/>
    <w:lvl w:ilvl="0" w:tplc="2108BC44">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9B279CA"/>
    <w:multiLevelType w:val="multilevel"/>
    <w:tmpl w:val="BC1AA69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3F0F9F"/>
    <w:multiLevelType w:val="hybridMultilevel"/>
    <w:tmpl w:val="E5BA9486"/>
    <w:lvl w:ilvl="0" w:tplc="080A0003">
      <w:start w:val="1"/>
      <w:numFmt w:val="bullet"/>
      <w:lvlText w:val="o"/>
      <w:lvlJc w:val="left"/>
      <w:pPr>
        <w:ind w:left="2160" w:hanging="360"/>
      </w:pPr>
      <w:rPr>
        <w:rFonts w:ascii="Courier New" w:hAnsi="Courier New" w:cs="Courier New"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6" w15:restartNumberingAfterBreak="0">
    <w:nsid w:val="20297BA0"/>
    <w:multiLevelType w:val="multilevel"/>
    <w:tmpl w:val="856C20C8"/>
    <w:lvl w:ilvl="0">
      <w:start w:val="2"/>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4F38E1"/>
    <w:multiLevelType w:val="hybridMultilevel"/>
    <w:tmpl w:val="4968A7C6"/>
    <w:lvl w:ilvl="0" w:tplc="14602D2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1126B16"/>
    <w:multiLevelType w:val="hybridMultilevel"/>
    <w:tmpl w:val="457048BC"/>
    <w:lvl w:ilvl="0" w:tplc="6E9AA63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26C32B0"/>
    <w:multiLevelType w:val="hybridMultilevel"/>
    <w:tmpl w:val="85826234"/>
    <w:lvl w:ilvl="0" w:tplc="080A000F">
      <w:start w:val="1"/>
      <w:numFmt w:val="decimal"/>
      <w:lvlText w:val="%1."/>
      <w:lvlJc w:val="left"/>
      <w:pPr>
        <w:ind w:left="786" w:hanging="360"/>
      </w:pPr>
      <w:rPr>
        <w:rFonts w:hint="default"/>
      </w:rPr>
    </w:lvl>
    <w:lvl w:ilvl="1" w:tplc="080A0015">
      <w:start w:val="1"/>
      <w:numFmt w:val="upp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229153BA"/>
    <w:multiLevelType w:val="hybridMultilevel"/>
    <w:tmpl w:val="9D041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5E91DE4"/>
    <w:multiLevelType w:val="hybridMultilevel"/>
    <w:tmpl w:val="F71483E0"/>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26E56919"/>
    <w:multiLevelType w:val="hybridMultilevel"/>
    <w:tmpl w:val="6ACED8B4"/>
    <w:lvl w:ilvl="0" w:tplc="4C70BF44">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6F65860"/>
    <w:multiLevelType w:val="hybridMultilevel"/>
    <w:tmpl w:val="083A0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B2C7CA7"/>
    <w:multiLevelType w:val="hybridMultilevel"/>
    <w:tmpl w:val="613A5D1A"/>
    <w:lvl w:ilvl="0" w:tplc="080A000F">
      <w:start w:val="1"/>
      <w:numFmt w:val="decimal"/>
      <w:lvlText w:val="%1."/>
      <w:lvlJc w:val="left"/>
      <w:pPr>
        <w:ind w:left="720" w:hanging="360"/>
      </w:pPr>
      <w:rPr>
        <w:rFonts w:hint="default"/>
      </w:rPr>
    </w:lvl>
    <w:lvl w:ilvl="1" w:tplc="2E1C4E9C">
      <w:start w:val="1"/>
      <w:numFmt w:val="upp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BD6798F"/>
    <w:multiLevelType w:val="multilevel"/>
    <w:tmpl w:val="952E9886"/>
    <w:lvl w:ilvl="0">
      <w:start w:val="2"/>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49162C8"/>
    <w:multiLevelType w:val="hybridMultilevel"/>
    <w:tmpl w:val="A7668F3E"/>
    <w:lvl w:ilvl="0" w:tplc="37541658">
      <w:start w:val="1"/>
      <w:numFmt w:val="bullet"/>
      <w:lvlText w:val=""/>
      <w:lvlJc w:val="left"/>
      <w:pPr>
        <w:ind w:left="720" w:hanging="360"/>
      </w:pPr>
      <w:rPr>
        <w:rFonts w:ascii="Symbol" w:hAnsi="Symbol" w:hint="default"/>
        <w:color w:val="F79646" w:themeColor="accent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6E704D8"/>
    <w:multiLevelType w:val="hybridMultilevel"/>
    <w:tmpl w:val="E4A4285E"/>
    <w:lvl w:ilvl="0" w:tplc="BF42EB96">
      <w:start w:val="1"/>
      <w:numFmt w:val="bullet"/>
      <w:lvlText w:val=""/>
      <w:lvlJc w:val="left"/>
      <w:pPr>
        <w:ind w:left="1080" w:hanging="360"/>
      </w:pPr>
      <w:rPr>
        <w:rFonts w:ascii="Symbol" w:hAnsi="Symbol" w:hint="default"/>
        <w:color w:val="F79646" w:themeColor="accent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6B33B3"/>
    <w:multiLevelType w:val="multilevel"/>
    <w:tmpl w:val="B18CF710"/>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17435BC"/>
    <w:multiLevelType w:val="hybridMultilevel"/>
    <w:tmpl w:val="E2D0C828"/>
    <w:lvl w:ilvl="0" w:tplc="035AFE3C">
      <w:start w:val="3"/>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4D98171D"/>
    <w:multiLevelType w:val="hybridMultilevel"/>
    <w:tmpl w:val="4DE26EE4"/>
    <w:lvl w:ilvl="0" w:tplc="ADA064AE">
      <w:start w:val="1"/>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4DB73403"/>
    <w:multiLevelType w:val="multilevel"/>
    <w:tmpl w:val="F72AA2E2"/>
    <w:lvl w:ilvl="0">
      <w:start w:val="2"/>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FC31A3"/>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7427EA"/>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8078AC"/>
    <w:multiLevelType w:val="hybridMultilevel"/>
    <w:tmpl w:val="5614C8F4"/>
    <w:lvl w:ilvl="0" w:tplc="BBDC7178">
      <w:start w:val="1"/>
      <w:numFmt w:val="bullet"/>
      <w:lvlText w:val=""/>
      <w:lvlJc w:val="left"/>
      <w:pPr>
        <w:ind w:left="720" w:hanging="360"/>
      </w:pPr>
      <w:rPr>
        <w:rFonts w:ascii="Wingdings" w:hAnsi="Wingdings" w:hint="default"/>
        <w:color w:val="F79646" w:themeColor="accent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B2B4325"/>
    <w:multiLevelType w:val="hybridMultilevel"/>
    <w:tmpl w:val="2A7A0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D6D57D1"/>
    <w:multiLevelType w:val="hybridMultilevel"/>
    <w:tmpl w:val="594063B8"/>
    <w:lvl w:ilvl="0" w:tplc="670EDCD6">
      <w:start w:val="3"/>
      <w:numFmt w:val="upperLetter"/>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0D2924"/>
    <w:multiLevelType w:val="multilevel"/>
    <w:tmpl w:val="0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3A4B3F"/>
    <w:multiLevelType w:val="hybridMultilevel"/>
    <w:tmpl w:val="062E60CE"/>
    <w:lvl w:ilvl="0" w:tplc="54408794">
      <w:start w:val="6"/>
      <w:numFmt w:val="upp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22B4FC9"/>
    <w:multiLevelType w:val="hybridMultilevel"/>
    <w:tmpl w:val="193EA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74162A2"/>
    <w:multiLevelType w:val="hybridMultilevel"/>
    <w:tmpl w:val="9BBE73A8"/>
    <w:lvl w:ilvl="0" w:tplc="199E1C4A">
      <w:start w:val="1"/>
      <w:numFmt w:val="upperLetter"/>
      <w:lvlText w:val="%1."/>
      <w:lvlJc w:val="left"/>
      <w:pPr>
        <w:ind w:left="1080" w:hanging="360"/>
      </w:pPr>
      <w:rPr>
        <w:rFonts w:hint="default"/>
      </w:rPr>
    </w:lvl>
    <w:lvl w:ilvl="1" w:tplc="08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EC95F3D"/>
    <w:multiLevelType w:val="hybridMultilevel"/>
    <w:tmpl w:val="09FA3F6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2EF026F"/>
    <w:multiLevelType w:val="hybridMultilevel"/>
    <w:tmpl w:val="14DEE172"/>
    <w:lvl w:ilvl="0" w:tplc="BBDC7178">
      <w:start w:val="1"/>
      <w:numFmt w:val="bullet"/>
      <w:lvlText w:val=""/>
      <w:lvlJc w:val="left"/>
      <w:pPr>
        <w:ind w:left="720" w:hanging="360"/>
      </w:pPr>
      <w:rPr>
        <w:rFonts w:ascii="Wingdings" w:hAnsi="Wingdings" w:hint="default"/>
        <w:color w:val="F79646" w:themeColor="accent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600675"/>
    <w:multiLevelType w:val="hybridMultilevel"/>
    <w:tmpl w:val="BD5616C2"/>
    <w:lvl w:ilvl="0" w:tplc="37541658">
      <w:start w:val="1"/>
      <w:numFmt w:val="bullet"/>
      <w:lvlText w:val=""/>
      <w:lvlJc w:val="left"/>
      <w:pPr>
        <w:ind w:left="720" w:hanging="360"/>
      </w:pPr>
      <w:rPr>
        <w:rFonts w:ascii="Symbol" w:hAnsi="Symbol" w:hint="default"/>
        <w:color w:val="F79646" w:themeColor="accent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A893327"/>
    <w:multiLevelType w:val="hybridMultilevel"/>
    <w:tmpl w:val="3CD042F8"/>
    <w:lvl w:ilvl="0" w:tplc="5A8296A6">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804271"/>
    <w:multiLevelType w:val="multilevel"/>
    <w:tmpl w:val="502AC9B2"/>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891035"/>
    <w:multiLevelType w:val="hybridMultilevel"/>
    <w:tmpl w:val="84FEADF4"/>
    <w:lvl w:ilvl="0" w:tplc="7638A744">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EC819DC"/>
    <w:multiLevelType w:val="hybridMultilevel"/>
    <w:tmpl w:val="6F00CDA2"/>
    <w:lvl w:ilvl="0" w:tplc="BF42EB96">
      <w:start w:val="1"/>
      <w:numFmt w:val="bullet"/>
      <w:lvlText w:val=""/>
      <w:lvlJc w:val="left"/>
      <w:pPr>
        <w:ind w:left="1080" w:hanging="360"/>
      </w:pPr>
      <w:rPr>
        <w:rFonts w:ascii="Symbol" w:hAnsi="Symbol" w:hint="default"/>
        <w:color w:val="F79646" w:themeColor="accent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17"/>
  </w:num>
  <w:num w:numId="4">
    <w:abstractNumId w:val="6"/>
  </w:num>
  <w:num w:numId="5">
    <w:abstractNumId w:val="21"/>
  </w:num>
  <w:num w:numId="6">
    <w:abstractNumId w:val="4"/>
  </w:num>
  <w:num w:numId="7">
    <w:abstractNumId w:val="46"/>
  </w:num>
  <w:num w:numId="8">
    <w:abstractNumId w:val="36"/>
  </w:num>
  <w:num w:numId="9">
    <w:abstractNumId w:val="30"/>
  </w:num>
  <w:num w:numId="10">
    <w:abstractNumId w:val="22"/>
  </w:num>
  <w:num w:numId="11">
    <w:abstractNumId w:val="7"/>
  </w:num>
  <w:num w:numId="12">
    <w:abstractNumId w:val="15"/>
  </w:num>
  <w:num w:numId="13">
    <w:abstractNumId w:val="24"/>
  </w:num>
  <w:num w:numId="14">
    <w:abstractNumId w:val="38"/>
  </w:num>
  <w:num w:numId="15">
    <w:abstractNumId w:val="5"/>
  </w:num>
  <w:num w:numId="16">
    <w:abstractNumId w:val="1"/>
  </w:num>
  <w:num w:numId="17">
    <w:abstractNumId w:val="44"/>
  </w:num>
  <w:num w:numId="18">
    <w:abstractNumId w:val="40"/>
  </w:num>
  <w:num w:numId="19">
    <w:abstractNumId w:val="2"/>
  </w:num>
  <w:num w:numId="20">
    <w:abstractNumId w:val="29"/>
  </w:num>
  <w:num w:numId="21">
    <w:abstractNumId w:val="10"/>
  </w:num>
  <w:num w:numId="22">
    <w:abstractNumId w:val="18"/>
  </w:num>
  <w:num w:numId="23">
    <w:abstractNumId w:val="0"/>
  </w:num>
  <w:num w:numId="24">
    <w:abstractNumId w:val="32"/>
  </w:num>
  <w:num w:numId="25">
    <w:abstractNumId w:val="37"/>
  </w:num>
  <w:num w:numId="26">
    <w:abstractNumId w:val="3"/>
  </w:num>
  <w:num w:numId="27">
    <w:abstractNumId w:val="13"/>
  </w:num>
  <w:num w:numId="28">
    <w:abstractNumId w:val="33"/>
  </w:num>
  <w:num w:numId="29">
    <w:abstractNumId w:val="28"/>
  </w:num>
  <w:num w:numId="30">
    <w:abstractNumId w:val="45"/>
  </w:num>
  <w:num w:numId="31">
    <w:abstractNumId w:val="9"/>
  </w:num>
  <w:num w:numId="32">
    <w:abstractNumId w:val="14"/>
  </w:num>
  <w:num w:numId="33">
    <w:abstractNumId w:val="25"/>
  </w:num>
  <w:num w:numId="34">
    <w:abstractNumId w:val="16"/>
  </w:num>
  <w:num w:numId="35">
    <w:abstractNumId w:val="31"/>
  </w:num>
  <w:num w:numId="36">
    <w:abstractNumId w:val="20"/>
  </w:num>
  <w:num w:numId="37">
    <w:abstractNumId w:val="39"/>
  </w:num>
  <w:num w:numId="38">
    <w:abstractNumId w:val="35"/>
  </w:num>
  <w:num w:numId="39">
    <w:abstractNumId w:val="41"/>
  </w:num>
  <w:num w:numId="40">
    <w:abstractNumId w:val="12"/>
  </w:num>
  <w:num w:numId="41">
    <w:abstractNumId w:val="27"/>
  </w:num>
  <w:num w:numId="42">
    <w:abstractNumId w:val="43"/>
  </w:num>
  <w:num w:numId="43">
    <w:abstractNumId w:val="11"/>
  </w:num>
  <w:num w:numId="44">
    <w:abstractNumId w:val="47"/>
  </w:num>
  <w:num w:numId="45">
    <w:abstractNumId w:val="34"/>
  </w:num>
  <w:num w:numId="46">
    <w:abstractNumId w:val="8"/>
  </w:num>
  <w:num w:numId="47">
    <w:abstractNumId w:val="26"/>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3A07"/>
    <w:rsid w:val="00084948"/>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840"/>
    <w:rsid w:val="00173CDD"/>
    <w:rsid w:val="001763CC"/>
    <w:rsid w:val="001800BD"/>
    <w:rsid w:val="00184CB5"/>
    <w:rsid w:val="0019373C"/>
    <w:rsid w:val="00193F5E"/>
    <w:rsid w:val="001A0E6E"/>
    <w:rsid w:val="001B0AC5"/>
    <w:rsid w:val="001C5275"/>
    <w:rsid w:val="001D01C0"/>
    <w:rsid w:val="001D187A"/>
    <w:rsid w:val="001E5983"/>
    <w:rsid w:val="001E66BD"/>
    <w:rsid w:val="001F0D23"/>
    <w:rsid w:val="001F2C2A"/>
    <w:rsid w:val="001F6318"/>
    <w:rsid w:val="0020020C"/>
    <w:rsid w:val="0020155A"/>
    <w:rsid w:val="002030DF"/>
    <w:rsid w:val="002051F1"/>
    <w:rsid w:val="00214062"/>
    <w:rsid w:val="002272AA"/>
    <w:rsid w:val="00230930"/>
    <w:rsid w:val="002312DF"/>
    <w:rsid w:val="00233D0F"/>
    <w:rsid w:val="002356D5"/>
    <w:rsid w:val="0023762C"/>
    <w:rsid w:val="002422A9"/>
    <w:rsid w:val="00256B08"/>
    <w:rsid w:val="00263C83"/>
    <w:rsid w:val="00264327"/>
    <w:rsid w:val="0026692D"/>
    <w:rsid w:val="002801B9"/>
    <w:rsid w:val="00281DFC"/>
    <w:rsid w:val="002903FB"/>
    <w:rsid w:val="00296056"/>
    <w:rsid w:val="002A29EE"/>
    <w:rsid w:val="002A318E"/>
    <w:rsid w:val="002B2C96"/>
    <w:rsid w:val="002C7030"/>
    <w:rsid w:val="002D15A8"/>
    <w:rsid w:val="002D1AFC"/>
    <w:rsid w:val="002D3EA7"/>
    <w:rsid w:val="002D457E"/>
    <w:rsid w:val="002E1A84"/>
    <w:rsid w:val="002E4405"/>
    <w:rsid w:val="002E6DAC"/>
    <w:rsid w:val="002F378E"/>
    <w:rsid w:val="00316A9C"/>
    <w:rsid w:val="00316C41"/>
    <w:rsid w:val="00323621"/>
    <w:rsid w:val="00325565"/>
    <w:rsid w:val="003270DD"/>
    <w:rsid w:val="00331966"/>
    <w:rsid w:val="00332B71"/>
    <w:rsid w:val="00332B81"/>
    <w:rsid w:val="00342BB1"/>
    <w:rsid w:val="00345DBF"/>
    <w:rsid w:val="00351B94"/>
    <w:rsid w:val="003671EF"/>
    <w:rsid w:val="003752E1"/>
    <w:rsid w:val="00375FD1"/>
    <w:rsid w:val="003800F3"/>
    <w:rsid w:val="003867E1"/>
    <w:rsid w:val="003954C6"/>
    <w:rsid w:val="003964B5"/>
    <w:rsid w:val="003A23B0"/>
    <w:rsid w:val="003B1D0C"/>
    <w:rsid w:val="003C3463"/>
    <w:rsid w:val="003C5B02"/>
    <w:rsid w:val="003E326B"/>
    <w:rsid w:val="003E4BAA"/>
    <w:rsid w:val="003E6E57"/>
    <w:rsid w:val="003F0AF3"/>
    <w:rsid w:val="003F315D"/>
    <w:rsid w:val="00413C04"/>
    <w:rsid w:val="0041452B"/>
    <w:rsid w:val="00416CC1"/>
    <w:rsid w:val="00425911"/>
    <w:rsid w:val="00431E65"/>
    <w:rsid w:val="004327A3"/>
    <w:rsid w:val="0044695A"/>
    <w:rsid w:val="004512E5"/>
    <w:rsid w:val="004620A0"/>
    <w:rsid w:val="0047370C"/>
    <w:rsid w:val="0047656A"/>
    <w:rsid w:val="00480476"/>
    <w:rsid w:val="0049271E"/>
    <w:rsid w:val="00495144"/>
    <w:rsid w:val="004A055F"/>
    <w:rsid w:val="004A30A1"/>
    <w:rsid w:val="004C10D1"/>
    <w:rsid w:val="004C1175"/>
    <w:rsid w:val="004C1F58"/>
    <w:rsid w:val="004C36DB"/>
    <w:rsid w:val="004D131A"/>
    <w:rsid w:val="004D31EC"/>
    <w:rsid w:val="004E2AE5"/>
    <w:rsid w:val="004E5966"/>
    <w:rsid w:val="004F1261"/>
    <w:rsid w:val="0050641D"/>
    <w:rsid w:val="00510CF9"/>
    <w:rsid w:val="00517737"/>
    <w:rsid w:val="00531BE3"/>
    <w:rsid w:val="00531C3D"/>
    <w:rsid w:val="005369D7"/>
    <w:rsid w:val="00537028"/>
    <w:rsid w:val="00550AFC"/>
    <w:rsid w:val="00555F51"/>
    <w:rsid w:val="005565AC"/>
    <w:rsid w:val="00564E3C"/>
    <w:rsid w:val="00575727"/>
    <w:rsid w:val="005763DF"/>
    <w:rsid w:val="005773F7"/>
    <w:rsid w:val="005826E6"/>
    <w:rsid w:val="005845F6"/>
    <w:rsid w:val="0058734A"/>
    <w:rsid w:val="0059649C"/>
    <w:rsid w:val="005A2AEF"/>
    <w:rsid w:val="005A3FEB"/>
    <w:rsid w:val="005B4A7B"/>
    <w:rsid w:val="005B6573"/>
    <w:rsid w:val="005B6E40"/>
    <w:rsid w:val="005C47E6"/>
    <w:rsid w:val="005E44FA"/>
    <w:rsid w:val="005F33CC"/>
    <w:rsid w:val="005F575E"/>
    <w:rsid w:val="00601986"/>
    <w:rsid w:val="00602B50"/>
    <w:rsid w:val="00603771"/>
    <w:rsid w:val="006123C0"/>
    <w:rsid w:val="006248E1"/>
    <w:rsid w:val="0062578D"/>
    <w:rsid w:val="00630891"/>
    <w:rsid w:val="0065144E"/>
    <w:rsid w:val="0065719B"/>
    <w:rsid w:val="00666BE5"/>
    <w:rsid w:val="00671A91"/>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24513"/>
    <w:rsid w:val="0073073B"/>
    <w:rsid w:val="00730743"/>
    <w:rsid w:val="00733EEE"/>
    <w:rsid w:val="00734B50"/>
    <w:rsid w:val="00735BDD"/>
    <w:rsid w:val="00745E86"/>
    <w:rsid w:val="007513D2"/>
    <w:rsid w:val="007541F8"/>
    <w:rsid w:val="007610AB"/>
    <w:rsid w:val="00782C22"/>
    <w:rsid w:val="00784BFB"/>
    <w:rsid w:val="007862E9"/>
    <w:rsid w:val="007967D9"/>
    <w:rsid w:val="007A0C17"/>
    <w:rsid w:val="007A0D4E"/>
    <w:rsid w:val="007A73AA"/>
    <w:rsid w:val="007A782D"/>
    <w:rsid w:val="007B4768"/>
    <w:rsid w:val="007C73EB"/>
    <w:rsid w:val="007D19D3"/>
    <w:rsid w:val="007D4353"/>
    <w:rsid w:val="007D7081"/>
    <w:rsid w:val="007E1F01"/>
    <w:rsid w:val="007E4A2A"/>
    <w:rsid w:val="007E5374"/>
    <w:rsid w:val="00801AE3"/>
    <w:rsid w:val="00803598"/>
    <w:rsid w:val="00807F0F"/>
    <w:rsid w:val="00822FE3"/>
    <w:rsid w:val="00827FA5"/>
    <w:rsid w:val="00832E3D"/>
    <w:rsid w:val="0083482F"/>
    <w:rsid w:val="008405A6"/>
    <w:rsid w:val="00855D89"/>
    <w:rsid w:val="00857815"/>
    <w:rsid w:val="0085799F"/>
    <w:rsid w:val="00860E2B"/>
    <w:rsid w:val="0086126F"/>
    <w:rsid w:val="008726E2"/>
    <w:rsid w:val="00874C99"/>
    <w:rsid w:val="0088276D"/>
    <w:rsid w:val="00882D04"/>
    <w:rsid w:val="008905B0"/>
    <w:rsid w:val="00890761"/>
    <w:rsid w:val="0089095B"/>
    <w:rsid w:val="008A0BCB"/>
    <w:rsid w:val="008A0CB2"/>
    <w:rsid w:val="008B0E9B"/>
    <w:rsid w:val="008D08A8"/>
    <w:rsid w:val="008D2433"/>
    <w:rsid w:val="008E3483"/>
    <w:rsid w:val="008E5209"/>
    <w:rsid w:val="008F0494"/>
    <w:rsid w:val="008F1D6E"/>
    <w:rsid w:val="0091170D"/>
    <w:rsid w:val="009160E1"/>
    <w:rsid w:val="0092465C"/>
    <w:rsid w:val="009263AC"/>
    <w:rsid w:val="00934890"/>
    <w:rsid w:val="009352D5"/>
    <w:rsid w:val="00950021"/>
    <w:rsid w:val="0096110F"/>
    <w:rsid w:val="009768FB"/>
    <w:rsid w:val="00983315"/>
    <w:rsid w:val="00997ED9"/>
    <w:rsid w:val="009A182A"/>
    <w:rsid w:val="009A3BA4"/>
    <w:rsid w:val="009B3B2B"/>
    <w:rsid w:val="009B5E2C"/>
    <w:rsid w:val="009B795A"/>
    <w:rsid w:val="009C2A50"/>
    <w:rsid w:val="009C6FE2"/>
    <w:rsid w:val="009D58D9"/>
    <w:rsid w:val="009D7FB9"/>
    <w:rsid w:val="009E50E6"/>
    <w:rsid w:val="009E7DF9"/>
    <w:rsid w:val="009F12A7"/>
    <w:rsid w:val="009F257D"/>
    <w:rsid w:val="00A0130B"/>
    <w:rsid w:val="00A06B19"/>
    <w:rsid w:val="00A06C49"/>
    <w:rsid w:val="00A16C5A"/>
    <w:rsid w:val="00A3027C"/>
    <w:rsid w:val="00A30BA4"/>
    <w:rsid w:val="00A342A7"/>
    <w:rsid w:val="00A349AA"/>
    <w:rsid w:val="00A41EEE"/>
    <w:rsid w:val="00A45C63"/>
    <w:rsid w:val="00A46A7F"/>
    <w:rsid w:val="00A564F9"/>
    <w:rsid w:val="00A609A3"/>
    <w:rsid w:val="00A62C84"/>
    <w:rsid w:val="00A631C2"/>
    <w:rsid w:val="00A65303"/>
    <w:rsid w:val="00A7110A"/>
    <w:rsid w:val="00A74CCC"/>
    <w:rsid w:val="00A77EF1"/>
    <w:rsid w:val="00A82DED"/>
    <w:rsid w:val="00A84C9A"/>
    <w:rsid w:val="00A97B59"/>
    <w:rsid w:val="00AA2447"/>
    <w:rsid w:val="00AA3309"/>
    <w:rsid w:val="00AB5C90"/>
    <w:rsid w:val="00AC54AF"/>
    <w:rsid w:val="00AC620E"/>
    <w:rsid w:val="00AD0ADD"/>
    <w:rsid w:val="00AE0BD1"/>
    <w:rsid w:val="00AE4E69"/>
    <w:rsid w:val="00AE5C01"/>
    <w:rsid w:val="00B10612"/>
    <w:rsid w:val="00B11A53"/>
    <w:rsid w:val="00B20F0E"/>
    <w:rsid w:val="00B22ADF"/>
    <w:rsid w:val="00B24DE7"/>
    <w:rsid w:val="00B3544D"/>
    <w:rsid w:val="00B35EB8"/>
    <w:rsid w:val="00B435F5"/>
    <w:rsid w:val="00B51B31"/>
    <w:rsid w:val="00B56D33"/>
    <w:rsid w:val="00B614DF"/>
    <w:rsid w:val="00B71DBF"/>
    <w:rsid w:val="00BA1B67"/>
    <w:rsid w:val="00BA222E"/>
    <w:rsid w:val="00BA4A59"/>
    <w:rsid w:val="00BB05A3"/>
    <w:rsid w:val="00BB0885"/>
    <w:rsid w:val="00BB130C"/>
    <w:rsid w:val="00BC2055"/>
    <w:rsid w:val="00BC2B7A"/>
    <w:rsid w:val="00BC3C31"/>
    <w:rsid w:val="00BC5E9C"/>
    <w:rsid w:val="00BD577F"/>
    <w:rsid w:val="00BE1BAD"/>
    <w:rsid w:val="00BE4329"/>
    <w:rsid w:val="00BE7166"/>
    <w:rsid w:val="00BF1C9C"/>
    <w:rsid w:val="00BF1F13"/>
    <w:rsid w:val="00BF25EA"/>
    <w:rsid w:val="00BF320F"/>
    <w:rsid w:val="00BF698D"/>
    <w:rsid w:val="00C04B92"/>
    <w:rsid w:val="00C103A7"/>
    <w:rsid w:val="00C17070"/>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CF6218"/>
    <w:rsid w:val="00D10D79"/>
    <w:rsid w:val="00D1436F"/>
    <w:rsid w:val="00D15AF3"/>
    <w:rsid w:val="00D16047"/>
    <w:rsid w:val="00D2217D"/>
    <w:rsid w:val="00D31A79"/>
    <w:rsid w:val="00D33ED2"/>
    <w:rsid w:val="00D37BFC"/>
    <w:rsid w:val="00D54A9B"/>
    <w:rsid w:val="00D557F6"/>
    <w:rsid w:val="00D617BA"/>
    <w:rsid w:val="00D63AE8"/>
    <w:rsid w:val="00D71101"/>
    <w:rsid w:val="00D77276"/>
    <w:rsid w:val="00D8309E"/>
    <w:rsid w:val="00D92DBC"/>
    <w:rsid w:val="00DA1D55"/>
    <w:rsid w:val="00DA6B5F"/>
    <w:rsid w:val="00DA6D7B"/>
    <w:rsid w:val="00DB29CD"/>
    <w:rsid w:val="00DB7D6F"/>
    <w:rsid w:val="00DD1B80"/>
    <w:rsid w:val="00DD2500"/>
    <w:rsid w:val="00DE333B"/>
    <w:rsid w:val="00DE3EC0"/>
    <w:rsid w:val="00DF0203"/>
    <w:rsid w:val="00DF12BB"/>
    <w:rsid w:val="00DF4DCD"/>
    <w:rsid w:val="00E0038A"/>
    <w:rsid w:val="00E01194"/>
    <w:rsid w:val="00E02A2F"/>
    <w:rsid w:val="00E055EA"/>
    <w:rsid w:val="00E107F2"/>
    <w:rsid w:val="00E1147B"/>
    <w:rsid w:val="00E1388F"/>
    <w:rsid w:val="00E236DA"/>
    <w:rsid w:val="00E474E8"/>
    <w:rsid w:val="00E4783D"/>
    <w:rsid w:val="00E529A2"/>
    <w:rsid w:val="00E55352"/>
    <w:rsid w:val="00E66462"/>
    <w:rsid w:val="00E85EDC"/>
    <w:rsid w:val="00E91A09"/>
    <w:rsid w:val="00E95051"/>
    <w:rsid w:val="00EA4287"/>
    <w:rsid w:val="00EB345E"/>
    <w:rsid w:val="00EC21F6"/>
    <w:rsid w:val="00EC3814"/>
    <w:rsid w:val="00EC63B6"/>
    <w:rsid w:val="00ED0FAB"/>
    <w:rsid w:val="00ED2843"/>
    <w:rsid w:val="00EE32E3"/>
    <w:rsid w:val="00F0320D"/>
    <w:rsid w:val="00F16821"/>
    <w:rsid w:val="00F16885"/>
    <w:rsid w:val="00F24D1A"/>
    <w:rsid w:val="00F2576D"/>
    <w:rsid w:val="00F26D0B"/>
    <w:rsid w:val="00F33E30"/>
    <w:rsid w:val="00F36ECC"/>
    <w:rsid w:val="00F46C22"/>
    <w:rsid w:val="00F51A08"/>
    <w:rsid w:val="00F75E9D"/>
    <w:rsid w:val="00F8367D"/>
    <w:rsid w:val="00F963E2"/>
    <w:rsid w:val="00FA1BB9"/>
    <w:rsid w:val="00FA7D41"/>
    <w:rsid w:val="00FB0820"/>
    <w:rsid w:val="00FB1337"/>
    <w:rsid w:val="00FB1BFB"/>
    <w:rsid w:val="00FB1F72"/>
    <w:rsid w:val="00FB4127"/>
    <w:rsid w:val="00FB4704"/>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205DBF"/>
  <w15:docId w15:val="{A5DADAE1-C815-4861-97CD-2FFD4122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PrrafodelistaCar">
    <w:name w:val="Párrafo de lista Car"/>
    <w:link w:val="Prrafodelista"/>
    <w:uiPriority w:val="34"/>
    <w:locked/>
    <w:rsid w:val="008B0E9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1304708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2392-51E4-465F-A608-B4021F66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5</Pages>
  <Words>1687</Words>
  <Characters>9279</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Gallegos</dc:creator>
  <cp:lastModifiedBy>7660@officeent.pw</cp:lastModifiedBy>
  <cp:revision>18</cp:revision>
  <cp:lastPrinted>2020-07-13T20:08:00Z</cp:lastPrinted>
  <dcterms:created xsi:type="dcterms:W3CDTF">2020-05-27T20:27:00Z</dcterms:created>
  <dcterms:modified xsi:type="dcterms:W3CDTF">2020-07-13T20:13:00Z</dcterms:modified>
</cp:coreProperties>
</file>