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3"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4A0" w:firstRow="1" w:lastRow="0" w:firstColumn="1" w:lastColumn="0" w:noHBand="0" w:noVBand="1"/>
      </w:tblPr>
      <w:tblGrid>
        <w:gridCol w:w="1561"/>
        <w:gridCol w:w="1032"/>
        <w:gridCol w:w="2265"/>
        <w:gridCol w:w="146"/>
        <w:gridCol w:w="2258"/>
        <w:gridCol w:w="680"/>
        <w:gridCol w:w="2411"/>
      </w:tblGrid>
      <w:tr w:rsidR="00690BCC" w:rsidRPr="00E1388F" w14:paraId="3B7D47CC" w14:textId="77777777" w:rsidTr="00802994">
        <w:trPr>
          <w:trHeight w:val="300"/>
          <w:tblCellSpacing w:w="20" w:type="dxa"/>
        </w:trPr>
        <w:tc>
          <w:tcPr>
            <w:tcW w:w="10217" w:type="dxa"/>
            <w:gridSpan w:val="7"/>
            <w:shd w:val="clear" w:color="000000" w:fill="8B1D31"/>
            <w:noWrap/>
            <w:vAlign w:val="bottom"/>
            <w:hideMark/>
          </w:tcPr>
          <w:p w14:paraId="1062DB21" w14:textId="77777777" w:rsidR="00E1388F" w:rsidRPr="00E1388F" w:rsidRDefault="00E1388F" w:rsidP="00E1388F">
            <w:pPr>
              <w:spacing w:after="0" w:line="240" w:lineRule="auto"/>
              <w:rPr>
                <w:rFonts w:eastAsia="Times New Roman"/>
                <w:b/>
                <w:bCs/>
                <w:color w:val="FFFFFF"/>
                <w:lang w:eastAsia="es-MX"/>
              </w:rPr>
            </w:pPr>
            <w:r w:rsidRPr="00E1388F">
              <w:rPr>
                <w:rFonts w:eastAsia="Times New Roman"/>
                <w:b/>
                <w:bCs/>
                <w:color w:val="FFFFFF"/>
                <w:lang w:eastAsia="es-MX"/>
              </w:rPr>
              <w:t>1. Descripción de la Evaluación</w:t>
            </w:r>
          </w:p>
        </w:tc>
      </w:tr>
      <w:tr w:rsidR="00690BCC" w:rsidRPr="00E1388F" w14:paraId="159E511A" w14:textId="77777777" w:rsidTr="00802994">
        <w:trPr>
          <w:trHeight w:val="390"/>
          <w:tblCellSpacing w:w="20" w:type="dxa"/>
        </w:trPr>
        <w:tc>
          <w:tcPr>
            <w:tcW w:w="10217" w:type="dxa"/>
            <w:gridSpan w:val="7"/>
            <w:shd w:val="clear" w:color="000000" w:fill="FFFFFF"/>
            <w:noWrap/>
            <w:hideMark/>
          </w:tcPr>
          <w:p w14:paraId="50382989" w14:textId="77777777" w:rsidR="00E1388F" w:rsidRPr="00F26D0B" w:rsidRDefault="00E1388F" w:rsidP="00E1388F">
            <w:pPr>
              <w:spacing w:after="0" w:line="240" w:lineRule="auto"/>
              <w:rPr>
                <w:rFonts w:eastAsia="Times New Roman"/>
                <w:b/>
                <w:color w:val="000000"/>
                <w:lang w:eastAsia="es-MX"/>
              </w:rPr>
            </w:pPr>
            <w:r w:rsidRPr="00F26D0B">
              <w:rPr>
                <w:rFonts w:eastAsia="Times New Roman"/>
                <w:b/>
                <w:color w:val="000000"/>
                <w:lang w:eastAsia="es-MX"/>
              </w:rPr>
              <w:t>1.1 Nombre de la Evaluación:</w:t>
            </w:r>
            <w:r w:rsidR="002D1AFC" w:rsidRPr="00F26D0B">
              <w:rPr>
                <w:rFonts w:eastAsia="Times New Roman"/>
                <w:b/>
                <w:color w:val="000000"/>
                <w:lang w:eastAsia="es-MX"/>
              </w:rPr>
              <w:t xml:space="preserve"> </w:t>
            </w:r>
            <w:r w:rsidR="00802994">
              <w:rPr>
                <w:rFonts w:cstheme="minorHAnsi"/>
                <w:bCs/>
              </w:rPr>
              <w:t>Evaluación del desempeño</w:t>
            </w:r>
          </w:p>
        </w:tc>
      </w:tr>
      <w:tr w:rsidR="00690BCC" w:rsidRPr="00E1388F" w14:paraId="3221120D" w14:textId="77777777" w:rsidTr="00802994">
        <w:trPr>
          <w:trHeight w:val="390"/>
          <w:tblCellSpacing w:w="20" w:type="dxa"/>
        </w:trPr>
        <w:tc>
          <w:tcPr>
            <w:tcW w:w="10217" w:type="dxa"/>
            <w:gridSpan w:val="7"/>
            <w:shd w:val="clear" w:color="000000" w:fill="FFFFFF"/>
            <w:noWrap/>
            <w:hideMark/>
          </w:tcPr>
          <w:p w14:paraId="759A0E3C" w14:textId="77777777" w:rsidR="00E1388F" w:rsidRPr="00F26D0B" w:rsidRDefault="00E1388F" w:rsidP="00E1388F">
            <w:pPr>
              <w:spacing w:after="0" w:line="240" w:lineRule="auto"/>
              <w:rPr>
                <w:rFonts w:eastAsia="Times New Roman"/>
                <w:b/>
                <w:color w:val="000000"/>
                <w:lang w:eastAsia="es-MX"/>
              </w:rPr>
            </w:pPr>
            <w:r w:rsidRPr="00F26D0B">
              <w:rPr>
                <w:rFonts w:eastAsia="Times New Roman"/>
                <w:b/>
                <w:color w:val="000000"/>
                <w:lang w:eastAsia="es-MX"/>
              </w:rPr>
              <w:t>1.2 Fecha de Inicio de la Evaluación:</w:t>
            </w:r>
            <w:r w:rsidR="007D4253">
              <w:rPr>
                <w:rFonts w:eastAsia="Times New Roman"/>
                <w:b/>
                <w:color w:val="000000"/>
                <w:lang w:eastAsia="es-MX"/>
              </w:rPr>
              <w:t xml:space="preserve"> </w:t>
            </w:r>
            <w:r w:rsidR="007D4253" w:rsidRPr="003B7AF2">
              <w:rPr>
                <w:rFonts w:eastAsia="Times New Roman"/>
                <w:color w:val="000000"/>
                <w:lang w:eastAsia="es-MX"/>
              </w:rPr>
              <w:t>04/12/2018</w:t>
            </w:r>
          </w:p>
        </w:tc>
      </w:tr>
      <w:tr w:rsidR="00690BCC" w:rsidRPr="00E1388F" w14:paraId="566D5F96" w14:textId="77777777" w:rsidTr="00802994">
        <w:trPr>
          <w:trHeight w:val="390"/>
          <w:tblCellSpacing w:w="20" w:type="dxa"/>
        </w:trPr>
        <w:tc>
          <w:tcPr>
            <w:tcW w:w="10217" w:type="dxa"/>
            <w:gridSpan w:val="7"/>
            <w:shd w:val="clear" w:color="000000" w:fill="FFFFFF"/>
            <w:noWrap/>
            <w:hideMark/>
          </w:tcPr>
          <w:p w14:paraId="39BE591C" w14:textId="77777777" w:rsidR="00E1388F" w:rsidRPr="00F26D0B" w:rsidRDefault="00E1388F" w:rsidP="00E1388F">
            <w:pPr>
              <w:spacing w:after="0" w:line="240" w:lineRule="auto"/>
              <w:rPr>
                <w:rFonts w:eastAsia="Times New Roman"/>
                <w:b/>
                <w:color w:val="000000"/>
                <w:lang w:eastAsia="es-MX"/>
              </w:rPr>
            </w:pPr>
            <w:r w:rsidRPr="00F26D0B">
              <w:rPr>
                <w:rFonts w:eastAsia="Times New Roman"/>
                <w:b/>
                <w:color w:val="000000"/>
                <w:lang w:eastAsia="es-MX"/>
              </w:rPr>
              <w:t>1.3 Fecha de Término de la Evaluación:</w:t>
            </w:r>
            <w:r w:rsidR="00332B81" w:rsidRPr="00F26D0B">
              <w:rPr>
                <w:rFonts w:eastAsia="Times New Roman"/>
                <w:b/>
                <w:color w:val="000000"/>
                <w:lang w:eastAsia="es-MX"/>
              </w:rPr>
              <w:t xml:space="preserve">  </w:t>
            </w:r>
            <w:r w:rsidR="007D4253" w:rsidRPr="003B7AF2">
              <w:rPr>
                <w:rFonts w:eastAsia="Times New Roman"/>
                <w:color w:val="000000"/>
              </w:rPr>
              <w:t>20/12/2018</w:t>
            </w:r>
          </w:p>
        </w:tc>
      </w:tr>
      <w:tr w:rsidR="00690BCC" w:rsidRPr="00E1388F" w14:paraId="3358134F" w14:textId="77777777" w:rsidTr="00802994">
        <w:trPr>
          <w:trHeight w:val="615"/>
          <w:tblCellSpacing w:w="20" w:type="dxa"/>
        </w:trPr>
        <w:tc>
          <w:tcPr>
            <w:tcW w:w="10217" w:type="dxa"/>
            <w:gridSpan w:val="7"/>
            <w:shd w:val="clear" w:color="auto" w:fill="D9D9D9" w:themeFill="background1" w:themeFillShade="D9"/>
            <w:hideMark/>
          </w:tcPr>
          <w:p w14:paraId="3CF8E438" w14:textId="26983CFB" w:rsidR="00E1388F" w:rsidRPr="00E1388F" w:rsidRDefault="007D4253" w:rsidP="00E1388F">
            <w:pPr>
              <w:spacing w:after="0" w:line="240" w:lineRule="auto"/>
              <w:rPr>
                <w:rFonts w:eastAsia="Times New Roman"/>
                <w:color w:val="000000"/>
                <w:lang w:eastAsia="es-MX"/>
              </w:rPr>
            </w:pPr>
            <w:r w:rsidRPr="00E1388F">
              <w:rPr>
                <w:rFonts w:eastAsia="Times New Roman"/>
                <w:color w:val="000000"/>
                <w:lang w:eastAsia="es-MX"/>
              </w:rPr>
              <w:t>1.4 Nombre</w:t>
            </w:r>
            <w:r w:rsidR="00E1388F" w:rsidRPr="00E1388F">
              <w:rPr>
                <w:rFonts w:eastAsia="Times New Roman"/>
                <w:color w:val="000000"/>
                <w:lang w:eastAsia="es-MX"/>
              </w:rPr>
              <w:t xml:space="preserve"> de la</w:t>
            </w:r>
            <w:r w:rsidR="0049271E">
              <w:rPr>
                <w:rFonts w:eastAsia="Times New Roman"/>
                <w:color w:val="000000"/>
                <w:lang w:eastAsia="es-MX"/>
              </w:rPr>
              <w:t xml:space="preserve"> Persona Responsable de darle seguimiento a la eva</w:t>
            </w:r>
            <w:r w:rsidR="00E1388F" w:rsidRPr="00E1388F">
              <w:rPr>
                <w:rFonts w:eastAsia="Times New Roman"/>
                <w:color w:val="000000"/>
                <w:lang w:eastAsia="es-MX"/>
              </w:rPr>
              <w:t>lu</w:t>
            </w:r>
            <w:r w:rsidR="0049271E">
              <w:rPr>
                <w:rFonts w:eastAsia="Times New Roman"/>
                <w:color w:val="000000"/>
                <w:lang w:eastAsia="es-MX"/>
              </w:rPr>
              <w:t>ación y nombre de la unidad a</w:t>
            </w:r>
            <w:r w:rsidR="00E1388F" w:rsidRPr="00E1388F">
              <w:rPr>
                <w:rFonts w:eastAsia="Times New Roman"/>
                <w:color w:val="000000"/>
                <w:lang w:eastAsia="es-MX"/>
              </w:rPr>
              <w:t>dministrativa a la que Pertenece:</w:t>
            </w:r>
            <w:r>
              <w:rPr>
                <w:rFonts w:eastAsia="Times New Roman"/>
                <w:color w:val="000000"/>
                <w:lang w:eastAsia="es-MX"/>
              </w:rPr>
              <w:t xml:space="preserve"> Lic. Rubén Aníbal García Castro, </w:t>
            </w:r>
            <w:r w:rsidR="00250CB1">
              <w:rPr>
                <w:rFonts w:eastAsia="Times New Roman"/>
                <w:color w:val="000000"/>
                <w:lang w:eastAsia="es-MX"/>
              </w:rPr>
              <w:t xml:space="preserve">Director </w:t>
            </w:r>
            <w:r>
              <w:rPr>
                <w:rFonts w:eastAsia="Times New Roman"/>
                <w:color w:val="000000"/>
                <w:lang w:eastAsia="es-MX"/>
              </w:rPr>
              <w:t>de Planeación de la Secretaría de Salud de Sinaloa.</w:t>
            </w:r>
          </w:p>
        </w:tc>
      </w:tr>
      <w:tr w:rsidR="00EC63B6" w:rsidRPr="00E1388F" w14:paraId="788E52F2" w14:textId="77777777" w:rsidTr="00802994">
        <w:trPr>
          <w:trHeight w:val="405"/>
          <w:tblCellSpacing w:w="20" w:type="dxa"/>
        </w:trPr>
        <w:tc>
          <w:tcPr>
            <w:tcW w:w="1493" w:type="dxa"/>
            <w:shd w:val="clear" w:color="000000" w:fill="FFFFFF"/>
            <w:noWrap/>
            <w:hideMark/>
          </w:tcPr>
          <w:p w14:paraId="54E984CE" w14:textId="77777777" w:rsidR="00E1388F" w:rsidRDefault="00E1388F" w:rsidP="00E1388F">
            <w:pPr>
              <w:spacing w:after="0" w:line="240" w:lineRule="auto"/>
              <w:rPr>
                <w:rFonts w:eastAsia="Times New Roman"/>
                <w:color w:val="000000"/>
                <w:lang w:eastAsia="es-MX"/>
              </w:rPr>
            </w:pPr>
            <w:r w:rsidRPr="00E1388F">
              <w:rPr>
                <w:rFonts w:eastAsia="Times New Roman"/>
                <w:color w:val="000000"/>
                <w:lang w:eastAsia="es-MX"/>
              </w:rPr>
              <w:t>Nombre:</w:t>
            </w:r>
          </w:p>
          <w:p w14:paraId="1D98BB23" w14:textId="77777777" w:rsidR="00D01D9D" w:rsidRPr="00E1388F" w:rsidRDefault="00D01D9D" w:rsidP="00E1388F">
            <w:pPr>
              <w:spacing w:after="0" w:line="240" w:lineRule="auto"/>
              <w:rPr>
                <w:rFonts w:eastAsia="Times New Roman"/>
                <w:color w:val="000000"/>
                <w:lang w:eastAsia="es-MX"/>
              </w:rPr>
            </w:pPr>
            <w:r>
              <w:rPr>
                <w:rFonts w:eastAsia="Times New Roman"/>
                <w:color w:val="000000"/>
                <w:lang w:eastAsia="es-MX"/>
              </w:rPr>
              <w:t xml:space="preserve">FASSA </w:t>
            </w:r>
          </w:p>
        </w:tc>
        <w:tc>
          <w:tcPr>
            <w:tcW w:w="3239" w:type="dxa"/>
            <w:gridSpan w:val="2"/>
            <w:shd w:val="clear" w:color="000000" w:fill="FFFFFF"/>
            <w:noWrap/>
            <w:hideMark/>
          </w:tcPr>
          <w:p w14:paraId="07500190" w14:textId="77777777" w:rsidR="00E1388F" w:rsidRPr="00E1388F" w:rsidRDefault="00332B81" w:rsidP="00E1388F">
            <w:pPr>
              <w:spacing w:after="0" w:line="240" w:lineRule="auto"/>
              <w:rPr>
                <w:rFonts w:eastAsia="Times New Roman"/>
                <w:color w:val="000000"/>
                <w:lang w:eastAsia="es-MX"/>
              </w:rPr>
            </w:pPr>
            <w:r>
              <w:rPr>
                <w:rFonts w:eastAsia="Times New Roman"/>
                <w:color w:val="000000"/>
                <w:lang w:eastAsia="es-MX"/>
              </w:rPr>
              <w:t>Nombre de la persona responsable</w:t>
            </w:r>
            <w:r w:rsidR="00D01D9D">
              <w:rPr>
                <w:rFonts w:eastAsia="Times New Roman"/>
                <w:color w:val="000000"/>
                <w:lang w:eastAsia="es-MX"/>
              </w:rPr>
              <w:t>: Ing. Armando Apodaca Soto</w:t>
            </w:r>
          </w:p>
        </w:tc>
        <w:tc>
          <w:tcPr>
            <w:tcW w:w="3027" w:type="dxa"/>
            <w:gridSpan w:val="3"/>
            <w:shd w:val="clear" w:color="000000" w:fill="FFFFFF"/>
            <w:noWrap/>
            <w:hideMark/>
          </w:tcPr>
          <w:p w14:paraId="2358AE9B" w14:textId="77777777" w:rsidR="00E1388F" w:rsidRDefault="00E1388F" w:rsidP="00E1388F">
            <w:pPr>
              <w:spacing w:after="0" w:line="240" w:lineRule="auto"/>
              <w:rPr>
                <w:rFonts w:eastAsia="Times New Roman"/>
                <w:color w:val="000000"/>
                <w:lang w:eastAsia="es-MX"/>
              </w:rPr>
            </w:pPr>
            <w:r w:rsidRPr="00E1388F">
              <w:rPr>
                <w:rFonts w:eastAsia="Times New Roman"/>
                <w:color w:val="000000"/>
                <w:lang w:eastAsia="es-MX"/>
              </w:rPr>
              <w:t>Unidad Administrativa:</w:t>
            </w:r>
          </w:p>
          <w:p w14:paraId="1C2F3A1E" w14:textId="77777777" w:rsidR="00D01D9D" w:rsidRPr="00E1388F" w:rsidRDefault="00D01D9D" w:rsidP="00E1388F">
            <w:pPr>
              <w:spacing w:after="0" w:line="240" w:lineRule="auto"/>
              <w:rPr>
                <w:rFonts w:eastAsia="Times New Roman"/>
                <w:color w:val="000000"/>
                <w:lang w:eastAsia="es-MX"/>
              </w:rPr>
            </w:pPr>
            <w:r>
              <w:rPr>
                <w:rFonts w:eastAsia="Times New Roman"/>
                <w:color w:val="000000"/>
                <w:lang w:eastAsia="es-MX"/>
              </w:rPr>
              <w:t xml:space="preserve">Dirección Administrativa. </w:t>
            </w:r>
          </w:p>
        </w:tc>
        <w:tc>
          <w:tcPr>
            <w:tcW w:w="2338" w:type="dxa"/>
            <w:shd w:val="clear" w:color="000000" w:fill="FFFFFF"/>
            <w:noWrap/>
            <w:hideMark/>
          </w:tcPr>
          <w:p w14:paraId="5AD54127" w14:textId="77777777" w:rsidR="00E1388F" w:rsidRDefault="00332B81" w:rsidP="00E1388F">
            <w:pPr>
              <w:spacing w:after="0" w:line="240" w:lineRule="auto"/>
              <w:rPr>
                <w:rFonts w:eastAsia="Times New Roman"/>
                <w:color w:val="000000"/>
                <w:lang w:eastAsia="es-MX"/>
              </w:rPr>
            </w:pPr>
            <w:r>
              <w:rPr>
                <w:rFonts w:eastAsia="Times New Roman"/>
                <w:color w:val="000000"/>
                <w:lang w:eastAsia="es-MX"/>
              </w:rPr>
              <w:t>Unidad administrativa a la que pertenece</w:t>
            </w:r>
            <w:r w:rsidR="00D01D9D">
              <w:rPr>
                <w:rFonts w:eastAsia="Times New Roman"/>
                <w:color w:val="000000"/>
                <w:lang w:eastAsia="es-MX"/>
              </w:rPr>
              <w:t xml:space="preserve">: </w:t>
            </w:r>
          </w:p>
          <w:p w14:paraId="42314E1C" w14:textId="77777777" w:rsidR="00D01D9D" w:rsidRPr="00E1388F" w:rsidRDefault="00D01D9D" w:rsidP="00E1388F">
            <w:pPr>
              <w:spacing w:after="0" w:line="240" w:lineRule="auto"/>
              <w:rPr>
                <w:rFonts w:eastAsia="Times New Roman"/>
                <w:color w:val="000000"/>
                <w:lang w:eastAsia="es-MX"/>
              </w:rPr>
            </w:pPr>
            <w:r>
              <w:rPr>
                <w:rFonts w:eastAsia="Times New Roman"/>
                <w:color w:val="000000"/>
                <w:lang w:eastAsia="es-MX"/>
              </w:rPr>
              <w:t xml:space="preserve">Servicios de Salud de Sinaloa. </w:t>
            </w:r>
          </w:p>
        </w:tc>
      </w:tr>
      <w:tr w:rsidR="00690BCC" w:rsidRPr="00E1388F" w14:paraId="19DED8DF" w14:textId="77777777" w:rsidTr="00802994">
        <w:trPr>
          <w:trHeight w:val="495"/>
          <w:tblCellSpacing w:w="20" w:type="dxa"/>
        </w:trPr>
        <w:tc>
          <w:tcPr>
            <w:tcW w:w="10217" w:type="dxa"/>
            <w:gridSpan w:val="7"/>
            <w:shd w:val="clear" w:color="000000" w:fill="FFFFFF"/>
            <w:noWrap/>
            <w:hideMark/>
          </w:tcPr>
          <w:p w14:paraId="071118C3" w14:textId="77777777" w:rsidR="00802994" w:rsidRPr="00802994" w:rsidRDefault="00E1388F" w:rsidP="00332B81">
            <w:pPr>
              <w:jc w:val="both"/>
              <w:rPr>
                <w:rFonts w:eastAsia="Times New Roman"/>
                <w:b/>
                <w:bCs/>
                <w:color w:val="000000"/>
                <w:lang w:eastAsia="es-MX"/>
              </w:rPr>
            </w:pPr>
            <w:r w:rsidRPr="00802994">
              <w:rPr>
                <w:rFonts w:eastAsia="Times New Roman"/>
                <w:b/>
                <w:bCs/>
                <w:color w:val="000000"/>
                <w:lang w:eastAsia="es-MX"/>
              </w:rPr>
              <w:t>1.5 Objetivo General de la Evaluación:</w:t>
            </w:r>
            <w:r w:rsidR="00332B81" w:rsidRPr="00802994">
              <w:rPr>
                <w:rFonts w:eastAsia="Times New Roman"/>
                <w:b/>
                <w:bCs/>
                <w:color w:val="000000"/>
                <w:lang w:eastAsia="es-MX"/>
              </w:rPr>
              <w:t xml:space="preserve"> </w:t>
            </w:r>
          </w:p>
          <w:p w14:paraId="35EF9448" w14:textId="77777777" w:rsidR="007D4253" w:rsidRPr="004972C8" w:rsidRDefault="007D4253" w:rsidP="00332B81">
            <w:pPr>
              <w:jc w:val="both"/>
              <w:rPr>
                <w:rFonts w:cstheme="minorHAnsi"/>
              </w:rPr>
            </w:pPr>
            <w:r>
              <w:rPr>
                <w:rFonts w:cstheme="minorHAnsi"/>
              </w:rPr>
              <w:t>Evaluar el desempeño de las aportaciones en la entidad federativa para el ejercicio fiscal concluido 201</w:t>
            </w:r>
            <w:r w:rsidR="00250CB1">
              <w:rPr>
                <w:rFonts w:cstheme="minorHAnsi"/>
              </w:rPr>
              <w:t>8</w:t>
            </w:r>
            <w:r>
              <w:rPr>
                <w:rFonts w:cstheme="minorHAnsi"/>
              </w:rPr>
              <w:t xml:space="preserve"> con el objetivo de mejorar la gestión, los resultados y la rendición de cuentas. </w:t>
            </w:r>
          </w:p>
          <w:p w14:paraId="431864C6" w14:textId="77777777" w:rsidR="00E1388F" w:rsidRPr="00E1388F" w:rsidRDefault="00E1388F" w:rsidP="00E1388F">
            <w:pPr>
              <w:spacing w:after="0" w:line="240" w:lineRule="auto"/>
              <w:rPr>
                <w:rFonts w:eastAsia="Times New Roman"/>
                <w:color w:val="000000"/>
                <w:lang w:eastAsia="es-MX"/>
              </w:rPr>
            </w:pPr>
          </w:p>
        </w:tc>
      </w:tr>
      <w:tr w:rsidR="00690BCC" w:rsidRPr="00E1388F" w14:paraId="292FBA7E" w14:textId="77777777" w:rsidTr="00802994">
        <w:trPr>
          <w:trHeight w:val="450"/>
          <w:tblCellSpacing w:w="20" w:type="dxa"/>
        </w:trPr>
        <w:tc>
          <w:tcPr>
            <w:tcW w:w="10217" w:type="dxa"/>
            <w:gridSpan w:val="7"/>
            <w:shd w:val="clear" w:color="000000" w:fill="FFFFFF"/>
            <w:noWrap/>
            <w:hideMark/>
          </w:tcPr>
          <w:p w14:paraId="1532ADCB" w14:textId="77777777" w:rsidR="00802994" w:rsidRPr="00802994" w:rsidRDefault="00E1388F" w:rsidP="00802994">
            <w:pPr>
              <w:jc w:val="both"/>
              <w:rPr>
                <w:rFonts w:eastAsia="Times New Roman"/>
                <w:b/>
                <w:bCs/>
                <w:color w:val="000000"/>
                <w:lang w:eastAsia="es-MX"/>
              </w:rPr>
            </w:pPr>
            <w:r w:rsidRPr="00802994">
              <w:rPr>
                <w:rFonts w:eastAsia="Times New Roman"/>
                <w:b/>
                <w:bCs/>
                <w:color w:val="000000"/>
                <w:lang w:eastAsia="es-MX"/>
              </w:rPr>
              <w:t xml:space="preserve">1.6 Objetivos </w:t>
            </w:r>
            <w:r w:rsidR="00332B81" w:rsidRPr="00802994">
              <w:rPr>
                <w:rFonts w:eastAsia="Times New Roman"/>
                <w:b/>
                <w:bCs/>
                <w:color w:val="000000"/>
                <w:lang w:eastAsia="es-MX"/>
              </w:rPr>
              <w:t>Específicas</w:t>
            </w:r>
            <w:r w:rsidRPr="00802994">
              <w:rPr>
                <w:rFonts w:eastAsia="Times New Roman"/>
                <w:b/>
                <w:bCs/>
                <w:color w:val="000000"/>
                <w:lang w:eastAsia="es-MX"/>
              </w:rPr>
              <w:t xml:space="preserve"> de la Evaluación:</w:t>
            </w:r>
            <w:r w:rsidR="00332B81" w:rsidRPr="00802994">
              <w:rPr>
                <w:rFonts w:eastAsia="Times New Roman"/>
                <w:b/>
                <w:bCs/>
                <w:color w:val="000000"/>
                <w:lang w:eastAsia="es-MX"/>
              </w:rPr>
              <w:t xml:space="preserve"> </w:t>
            </w:r>
          </w:p>
          <w:p w14:paraId="544202DC" w14:textId="77777777" w:rsidR="007D4253" w:rsidRDefault="007D4253" w:rsidP="00802994">
            <w:pPr>
              <w:jc w:val="both"/>
              <w:rPr>
                <w:rFonts w:cstheme="minorHAnsi"/>
              </w:rPr>
            </w:pPr>
            <w:r>
              <w:rPr>
                <w:rFonts w:cstheme="minorHAnsi"/>
              </w:rPr>
              <w:t xml:space="preserve">Valorar la contribución y el destino de las aportaciones en la prestación de los servicios de salubridad general en la entidad federativa. </w:t>
            </w:r>
          </w:p>
          <w:p w14:paraId="0374A205" w14:textId="562BAAF0" w:rsidR="007D4253" w:rsidRDefault="007D4253" w:rsidP="007D4253">
            <w:pPr>
              <w:pStyle w:val="Prrafodelista"/>
              <w:numPr>
                <w:ilvl w:val="0"/>
                <w:numId w:val="28"/>
              </w:numPr>
              <w:jc w:val="both"/>
              <w:rPr>
                <w:rFonts w:cstheme="minorHAnsi"/>
              </w:rPr>
            </w:pPr>
            <w:r>
              <w:rPr>
                <w:rFonts w:cstheme="minorHAnsi"/>
              </w:rPr>
              <w:t xml:space="preserve">Valorar los principales procesos en la gestión y operación de las aportaciones en la entidad federativa, con el objetivo de identificar los problemas o limitantes que obstaculizan la gestión del fondo, así como las fortalezas y buenas </w:t>
            </w:r>
            <w:r w:rsidR="008975B1">
              <w:rPr>
                <w:rFonts w:cstheme="minorHAnsi"/>
              </w:rPr>
              <w:t>prácticas</w:t>
            </w:r>
            <w:r>
              <w:rPr>
                <w:rFonts w:cstheme="minorHAnsi"/>
              </w:rPr>
              <w:t xml:space="preserve"> que mejoran la capacidad de gestión del mismo en la entidad federativa. </w:t>
            </w:r>
          </w:p>
          <w:p w14:paraId="2C78431A" w14:textId="77777777" w:rsidR="007D4253" w:rsidRDefault="007D4253" w:rsidP="007D4253">
            <w:pPr>
              <w:pStyle w:val="Prrafodelista"/>
              <w:numPr>
                <w:ilvl w:val="0"/>
                <w:numId w:val="28"/>
              </w:numPr>
              <w:jc w:val="both"/>
              <w:rPr>
                <w:rFonts w:cstheme="minorHAnsi"/>
              </w:rPr>
            </w:pPr>
            <w:r>
              <w:rPr>
                <w:rFonts w:cstheme="minorHAnsi"/>
              </w:rPr>
              <w:t xml:space="preserve">Valorar el grado de sistematización de la información referente al ejercicio y resultados de la implementación de las aportaciones en la entidad federativa, así como los mecanismos de rendición de cuentas. </w:t>
            </w:r>
          </w:p>
          <w:p w14:paraId="1CB31982" w14:textId="77777777" w:rsidR="007D4253" w:rsidRPr="007D4253" w:rsidRDefault="007D4253" w:rsidP="007D4253">
            <w:pPr>
              <w:pStyle w:val="Prrafodelista"/>
              <w:numPr>
                <w:ilvl w:val="0"/>
                <w:numId w:val="28"/>
              </w:numPr>
              <w:jc w:val="both"/>
              <w:rPr>
                <w:rFonts w:cstheme="minorHAnsi"/>
              </w:rPr>
            </w:pPr>
            <w:r>
              <w:rPr>
                <w:rFonts w:cstheme="minorHAnsi"/>
              </w:rPr>
              <w:t xml:space="preserve">Valorar la orientación a resultados y desempeño del fondo en la entidad federativa. </w:t>
            </w:r>
          </w:p>
          <w:p w14:paraId="1DE65AA2" w14:textId="77777777" w:rsidR="00E1388F" w:rsidRPr="00E1388F" w:rsidRDefault="00E1388F" w:rsidP="00E1388F">
            <w:pPr>
              <w:spacing w:after="0" w:line="240" w:lineRule="auto"/>
              <w:rPr>
                <w:rFonts w:eastAsia="Times New Roman"/>
                <w:color w:val="000000"/>
                <w:lang w:eastAsia="es-MX"/>
              </w:rPr>
            </w:pPr>
          </w:p>
        </w:tc>
      </w:tr>
      <w:tr w:rsidR="00690BCC" w:rsidRPr="00E1388F" w14:paraId="34FF9287" w14:textId="77777777" w:rsidTr="00802994">
        <w:trPr>
          <w:trHeight w:val="480"/>
          <w:tblCellSpacing w:w="20" w:type="dxa"/>
        </w:trPr>
        <w:tc>
          <w:tcPr>
            <w:tcW w:w="10217" w:type="dxa"/>
            <w:gridSpan w:val="7"/>
            <w:shd w:val="clear" w:color="000000" w:fill="FFFFFF"/>
            <w:noWrap/>
            <w:hideMark/>
          </w:tcPr>
          <w:p w14:paraId="27122BBF" w14:textId="77777777" w:rsidR="00E1388F" w:rsidRPr="00802994" w:rsidRDefault="00E1388F" w:rsidP="00E1388F">
            <w:pPr>
              <w:spacing w:after="0" w:line="240" w:lineRule="auto"/>
              <w:rPr>
                <w:rFonts w:cstheme="minorHAnsi"/>
                <w:b/>
                <w:bCs/>
              </w:rPr>
            </w:pPr>
            <w:r w:rsidRPr="00802994">
              <w:rPr>
                <w:rFonts w:eastAsia="Times New Roman"/>
                <w:b/>
                <w:bCs/>
                <w:color w:val="000000"/>
                <w:lang w:eastAsia="es-MX"/>
              </w:rPr>
              <w:t>1.7 Metodología Utilizada en la Evaluación:</w:t>
            </w:r>
            <w:r w:rsidR="00332B81" w:rsidRPr="00802994">
              <w:rPr>
                <w:rFonts w:eastAsia="Times New Roman"/>
                <w:b/>
                <w:bCs/>
                <w:color w:val="000000"/>
                <w:lang w:eastAsia="es-MX"/>
              </w:rPr>
              <w:t xml:space="preserve"> </w:t>
            </w:r>
          </w:p>
          <w:p w14:paraId="7F250C29" w14:textId="77777777" w:rsidR="00523D0C" w:rsidRDefault="00523D0C" w:rsidP="00E1388F">
            <w:pPr>
              <w:spacing w:after="0" w:line="240" w:lineRule="auto"/>
              <w:rPr>
                <w:rFonts w:cstheme="minorHAnsi"/>
              </w:rPr>
            </w:pPr>
          </w:p>
          <w:p w14:paraId="4B506F90" w14:textId="77777777" w:rsidR="007D4253" w:rsidRDefault="007D4253" w:rsidP="00523D0C">
            <w:pPr>
              <w:spacing w:after="0" w:line="240" w:lineRule="auto"/>
              <w:jc w:val="both"/>
              <w:rPr>
                <w:rFonts w:eastAsia="Times New Roman"/>
                <w:color w:val="000000"/>
              </w:rPr>
            </w:pPr>
            <w:r>
              <w:rPr>
                <w:rFonts w:eastAsia="Times New Roman"/>
                <w:color w:val="000000"/>
              </w:rPr>
              <w:t xml:space="preserve">La metodología </w:t>
            </w:r>
            <w:r w:rsidR="00416812">
              <w:rPr>
                <w:rFonts w:eastAsia="Times New Roman"/>
                <w:color w:val="000000"/>
              </w:rPr>
              <w:t xml:space="preserve">utilizada consiste en responder mediante un esquema binario (Si o No) una serie de preguntas sobre cinco temas: Diseño, Planeación Estratégica, Cobertura, Operación y Resultados. Las respuestas se justifican con evidencia documental sobre los principales argumentos de cada una de las preguntas y temas analizados. De ser el caso, se explican las causas y motivos por los cuales la pregunta no aplica o bien los </w:t>
            </w:r>
            <w:r w:rsidR="00416812">
              <w:rPr>
                <w:rFonts w:eastAsia="Times New Roman"/>
                <w:color w:val="000000"/>
              </w:rPr>
              <w:lastRenderedPageBreak/>
              <w:t xml:space="preserve">programas no generan la información suficiente para poder contestarla. Así mismo, se realizaron entrevistas para poder apoyar el análisis y los resultados de esta </w:t>
            </w:r>
            <w:r w:rsidR="001E4773">
              <w:rPr>
                <w:rFonts w:eastAsia="Times New Roman"/>
                <w:color w:val="000000"/>
              </w:rPr>
              <w:t>evaluación</w:t>
            </w:r>
            <w:r w:rsidR="00416812">
              <w:rPr>
                <w:rFonts w:eastAsia="Times New Roman"/>
                <w:color w:val="000000"/>
              </w:rPr>
              <w:t xml:space="preserve">, y se </w:t>
            </w:r>
            <w:r w:rsidR="001E4773">
              <w:rPr>
                <w:rFonts w:eastAsia="Times New Roman"/>
                <w:color w:val="000000"/>
              </w:rPr>
              <w:t xml:space="preserve">propone la Matriz de Indicadores para resultados (MIR) con base a la metodología de marco lógico para el FASSA, incluido el árbol del problema y el árbol de objetivos correspondientes. </w:t>
            </w:r>
          </w:p>
          <w:p w14:paraId="67D4CC17" w14:textId="77777777" w:rsidR="007F2CEE" w:rsidRDefault="007F2CEE" w:rsidP="00523D0C">
            <w:pPr>
              <w:spacing w:after="0" w:line="240" w:lineRule="auto"/>
              <w:jc w:val="both"/>
              <w:rPr>
                <w:rFonts w:eastAsia="Times New Roman"/>
                <w:color w:val="000000"/>
              </w:rPr>
            </w:pPr>
          </w:p>
          <w:p w14:paraId="69A673F5" w14:textId="77777777" w:rsidR="001E4773" w:rsidRDefault="001E4773" w:rsidP="00523D0C">
            <w:pPr>
              <w:spacing w:after="0" w:line="240" w:lineRule="auto"/>
              <w:jc w:val="both"/>
              <w:rPr>
                <w:rFonts w:eastAsia="Times New Roman"/>
                <w:color w:val="000000"/>
              </w:rPr>
            </w:pPr>
            <w:r>
              <w:rPr>
                <w:rFonts w:eastAsia="Times New Roman"/>
                <w:color w:val="000000"/>
              </w:rPr>
              <w:t xml:space="preserve">Se establecieron procesos de valuación cualitativa, cuantitativa y de carácter mista para identificar las capacidades operativas, y económicas del Fondo de Aportaciones para los Servicios de Salud (FASSA) en el Estado de Sinaloa, con el objetivo de obtener información contundente que permitiera coadyuvar a la identificación de los procesos y acciones administrativas que han acrecentado el desempeño del Programa. </w:t>
            </w:r>
            <w:r w:rsidR="00D7346F">
              <w:rPr>
                <w:rFonts w:eastAsia="Times New Roman"/>
                <w:color w:val="000000"/>
              </w:rPr>
              <w:t xml:space="preserve">Para ello se elaboró un marco devaluación integral, que incluye los componentes financieros, gerencial y de impacto, además se realizó un análisis de gabinete, apoyado en información proporcionada por las diversas dependencias gubernamentales que participan en la presupuestación, programación y operación del Programa Presupuestario en cuestión, las cuales proporcionaron información previamente solicitada y cotejada. </w:t>
            </w:r>
          </w:p>
          <w:p w14:paraId="31BB6388" w14:textId="77777777" w:rsidR="007F2CEE" w:rsidRDefault="007F2CEE" w:rsidP="00523D0C">
            <w:pPr>
              <w:spacing w:after="0" w:line="240" w:lineRule="auto"/>
              <w:jc w:val="both"/>
              <w:rPr>
                <w:rFonts w:eastAsia="Times New Roman"/>
                <w:color w:val="000000"/>
              </w:rPr>
            </w:pPr>
          </w:p>
          <w:p w14:paraId="7CE636F6" w14:textId="6AEF47C1" w:rsidR="00D7346F" w:rsidRDefault="00D7346F" w:rsidP="00523D0C">
            <w:pPr>
              <w:spacing w:after="0" w:line="240" w:lineRule="auto"/>
              <w:jc w:val="both"/>
              <w:rPr>
                <w:rFonts w:eastAsia="Times New Roman"/>
                <w:color w:val="000000"/>
              </w:rPr>
            </w:pPr>
            <w:r>
              <w:rPr>
                <w:rFonts w:eastAsia="Times New Roman"/>
                <w:color w:val="000000"/>
              </w:rPr>
              <w:t xml:space="preserve">Es importante describir que la </w:t>
            </w:r>
            <w:r w:rsidR="006D4135">
              <w:rPr>
                <w:rFonts w:eastAsia="Times New Roman"/>
                <w:color w:val="000000"/>
              </w:rPr>
              <w:t>evaluación</w:t>
            </w:r>
            <w:r>
              <w:rPr>
                <w:rFonts w:eastAsia="Times New Roman"/>
                <w:color w:val="000000"/>
              </w:rPr>
              <w:t xml:space="preserve"> se </w:t>
            </w:r>
            <w:r w:rsidR="006D4135">
              <w:rPr>
                <w:rFonts w:eastAsia="Times New Roman"/>
                <w:color w:val="000000"/>
              </w:rPr>
              <w:t>apegó</w:t>
            </w:r>
            <w:r>
              <w:rPr>
                <w:rFonts w:eastAsia="Times New Roman"/>
                <w:color w:val="000000"/>
              </w:rPr>
              <w:t xml:space="preserve"> al análisis </w:t>
            </w:r>
            <w:r w:rsidR="006D4135">
              <w:rPr>
                <w:rFonts w:eastAsia="Times New Roman"/>
                <w:color w:val="000000"/>
              </w:rPr>
              <w:t>metodológico</w:t>
            </w:r>
            <w:r>
              <w:rPr>
                <w:rFonts w:eastAsia="Times New Roman"/>
                <w:color w:val="000000"/>
              </w:rPr>
              <w:t xml:space="preserve"> de interpretación de datos</w:t>
            </w:r>
            <w:r w:rsidR="006D4135">
              <w:rPr>
                <w:rFonts w:eastAsia="Times New Roman"/>
                <w:color w:val="000000"/>
              </w:rPr>
              <w:t>, lo que permitió estructurar la información mediante la combinación de tecnología (Hoja de cálculo), empleando una interfaz para realizar las medicines, tabulaciones y graficas que expresan una realidad referente a población potencial, población objetivo, cobertura, focalización y presupuesto comprometido, devengado y ejercido en el ejercicio fiscal 201</w:t>
            </w:r>
            <w:r w:rsidR="008975B1">
              <w:rPr>
                <w:rFonts w:eastAsia="Times New Roman"/>
                <w:color w:val="000000"/>
              </w:rPr>
              <w:t>8</w:t>
            </w:r>
            <w:r w:rsidR="006D4135">
              <w:rPr>
                <w:rFonts w:eastAsia="Times New Roman"/>
                <w:color w:val="000000"/>
              </w:rPr>
              <w:t xml:space="preserve">. </w:t>
            </w:r>
          </w:p>
          <w:p w14:paraId="26D7846A" w14:textId="77777777" w:rsidR="00D7346F" w:rsidRPr="00E1388F" w:rsidRDefault="00D7346F" w:rsidP="00E1388F">
            <w:pPr>
              <w:spacing w:after="0" w:line="240" w:lineRule="auto"/>
              <w:rPr>
                <w:rFonts w:eastAsia="Times New Roman"/>
                <w:color w:val="000000"/>
                <w:lang w:eastAsia="es-MX"/>
              </w:rPr>
            </w:pPr>
          </w:p>
        </w:tc>
      </w:tr>
      <w:tr w:rsidR="00690BCC" w:rsidRPr="00E1388F" w14:paraId="15B61746" w14:textId="77777777" w:rsidTr="00802994">
        <w:trPr>
          <w:trHeight w:val="360"/>
          <w:tblCellSpacing w:w="20" w:type="dxa"/>
        </w:trPr>
        <w:tc>
          <w:tcPr>
            <w:tcW w:w="10217" w:type="dxa"/>
            <w:gridSpan w:val="7"/>
            <w:shd w:val="clear" w:color="auto" w:fill="D9D9D9" w:themeFill="background1" w:themeFillShade="D9"/>
            <w:noWrap/>
            <w:hideMark/>
          </w:tcPr>
          <w:p w14:paraId="4BA50B7A" w14:textId="77777777" w:rsidR="00E1388F" w:rsidRPr="00E1388F" w:rsidRDefault="00E1388F" w:rsidP="00E1388F">
            <w:pPr>
              <w:spacing w:after="0" w:line="240" w:lineRule="auto"/>
              <w:rPr>
                <w:rFonts w:eastAsia="Times New Roman"/>
                <w:color w:val="000000"/>
                <w:lang w:eastAsia="es-MX"/>
              </w:rPr>
            </w:pPr>
            <w:r w:rsidRPr="00802994">
              <w:rPr>
                <w:rFonts w:eastAsia="Times New Roman"/>
                <w:b/>
                <w:bCs/>
                <w:color w:val="000000"/>
                <w:lang w:eastAsia="es-MX"/>
              </w:rPr>
              <w:lastRenderedPageBreak/>
              <w:t>Instrumentos de Recolección de Información:</w:t>
            </w:r>
            <w:r w:rsidR="00332B81" w:rsidRPr="00802994">
              <w:rPr>
                <w:rFonts w:eastAsia="Times New Roman"/>
                <w:b/>
                <w:bCs/>
                <w:color w:val="000000"/>
                <w:lang w:eastAsia="es-MX"/>
              </w:rPr>
              <w:t xml:space="preserve">  </w:t>
            </w:r>
            <w:r w:rsidR="00332B81">
              <w:rPr>
                <w:rFonts w:eastAsia="Times New Roman"/>
                <w:color w:val="000000"/>
                <w:lang w:eastAsia="es-MX"/>
              </w:rPr>
              <w:t>Selecc</w:t>
            </w:r>
            <w:r w:rsidR="0041452B">
              <w:rPr>
                <w:rFonts w:eastAsia="Times New Roman"/>
                <w:color w:val="000000"/>
                <w:lang w:eastAsia="es-MX"/>
              </w:rPr>
              <w:t>ionar con una (X) según sea el caso</w:t>
            </w:r>
          </w:p>
        </w:tc>
      </w:tr>
      <w:tr w:rsidR="00EC63B6" w:rsidRPr="00E1388F" w14:paraId="5576444F" w14:textId="77777777" w:rsidTr="00802994">
        <w:trPr>
          <w:trHeight w:val="390"/>
          <w:tblCellSpacing w:w="20" w:type="dxa"/>
        </w:trPr>
        <w:tc>
          <w:tcPr>
            <w:tcW w:w="2519" w:type="dxa"/>
            <w:gridSpan w:val="2"/>
            <w:shd w:val="clear" w:color="000000" w:fill="FFFFFF"/>
            <w:noWrap/>
            <w:hideMark/>
          </w:tcPr>
          <w:p w14:paraId="05A784A4" w14:textId="77777777" w:rsidR="00E1388F" w:rsidRPr="00E1388F" w:rsidRDefault="00E1388F" w:rsidP="00E1388F">
            <w:pPr>
              <w:spacing w:after="0" w:line="240" w:lineRule="auto"/>
              <w:rPr>
                <w:rFonts w:eastAsia="Times New Roman"/>
                <w:color w:val="000000"/>
                <w:lang w:eastAsia="es-MX"/>
              </w:rPr>
            </w:pPr>
            <w:r w:rsidRPr="00E1388F">
              <w:rPr>
                <w:rFonts w:eastAsia="Times New Roman"/>
                <w:color w:val="000000"/>
                <w:lang w:eastAsia="es-MX"/>
              </w:rPr>
              <w:t>Cuestionarios:</w:t>
            </w:r>
            <w:r w:rsidR="006D4135">
              <w:rPr>
                <w:rFonts w:eastAsia="Times New Roman"/>
                <w:color w:val="000000"/>
                <w:lang w:eastAsia="es-MX"/>
              </w:rPr>
              <w:t xml:space="preserve"> (X) </w:t>
            </w:r>
          </w:p>
        </w:tc>
        <w:tc>
          <w:tcPr>
            <w:tcW w:w="2358" w:type="dxa"/>
            <w:gridSpan w:val="2"/>
            <w:shd w:val="clear" w:color="000000" w:fill="FFFFFF"/>
            <w:noWrap/>
            <w:hideMark/>
          </w:tcPr>
          <w:p w14:paraId="06984180" w14:textId="77777777" w:rsidR="00E1388F" w:rsidRPr="00E1388F" w:rsidRDefault="00E1388F" w:rsidP="00E1388F">
            <w:pPr>
              <w:spacing w:after="0" w:line="240" w:lineRule="auto"/>
              <w:rPr>
                <w:rFonts w:eastAsia="Times New Roman"/>
                <w:color w:val="000000"/>
                <w:lang w:eastAsia="es-MX"/>
              </w:rPr>
            </w:pPr>
            <w:r w:rsidRPr="00E1388F">
              <w:rPr>
                <w:rFonts w:eastAsia="Times New Roman"/>
                <w:color w:val="000000"/>
                <w:lang w:eastAsia="es-MX"/>
              </w:rPr>
              <w:t>Entrevistas:</w:t>
            </w:r>
            <w:r w:rsidR="006D4135">
              <w:rPr>
                <w:rFonts w:eastAsia="Times New Roman"/>
                <w:color w:val="000000"/>
                <w:lang w:eastAsia="es-MX"/>
              </w:rPr>
              <w:t xml:space="preserve"> (X)</w:t>
            </w:r>
          </w:p>
        </w:tc>
        <w:tc>
          <w:tcPr>
            <w:tcW w:w="2206" w:type="dxa"/>
            <w:shd w:val="clear" w:color="000000" w:fill="FFFFFF"/>
            <w:noWrap/>
            <w:hideMark/>
          </w:tcPr>
          <w:p w14:paraId="1A158EA3" w14:textId="77777777" w:rsidR="00E1388F" w:rsidRPr="00E1388F" w:rsidRDefault="00E1388F" w:rsidP="00E1388F">
            <w:pPr>
              <w:spacing w:after="0" w:line="240" w:lineRule="auto"/>
              <w:rPr>
                <w:rFonts w:eastAsia="Times New Roman"/>
                <w:color w:val="000000"/>
                <w:lang w:eastAsia="es-MX"/>
              </w:rPr>
            </w:pPr>
            <w:r w:rsidRPr="00E1388F">
              <w:rPr>
                <w:rFonts w:eastAsia="Times New Roman"/>
                <w:color w:val="000000"/>
                <w:lang w:eastAsia="es-MX"/>
              </w:rPr>
              <w:t>Formatos:</w:t>
            </w:r>
            <w:r w:rsidR="006D4135">
              <w:rPr>
                <w:rFonts w:eastAsia="Times New Roman"/>
                <w:color w:val="000000"/>
                <w:lang w:eastAsia="es-MX"/>
              </w:rPr>
              <w:t xml:space="preserve"> (X)</w:t>
            </w:r>
          </w:p>
        </w:tc>
        <w:tc>
          <w:tcPr>
            <w:tcW w:w="3014" w:type="dxa"/>
            <w:gridSpan w:val="2"/>
            <w:shd w:val="clear" w:color="000000" w:fill="FFFFFF"/>
            <w:noWrap/>
            <w:hideMark/>
          </w:tcPr>
          <w:p w14:paraId="480DD376" w14:textId="77777777" w:rsidR="00E1388F" w:rsidRPr="00E1388F" w:rsidRDefault="00E1388F" w:rsidP="00E1388F">
            <w:pPr>
              <w:spacing w:after="0" w:line="240" w:lineRule="auto"/>
              <w:rPr>
                <w:rFonts w:eastAsia="Times New Roman"/>
                <w:color w:val="000000"/>
                <w:lang w:eastAsia="es-MX"/>
              </w:rPr>
            </w:pPr>
            <w:r w:rsidRPr="00E1388F">
              <w:rPr>
                <w:rFonts w:eastAsia="Times New Roman"/>
                <w:color w:val="000000"/>
                <w:lang w:eastAsia="es-MX"/>
              </w:rPr>
              <w:t>Especifique:</w:t>
            </w:r>
          </w:p>
        </w:tc>
      </w:tr>
      <w:tr w:rsidR="00690BCC" w:rsidRPr="00E1388F" w14:paraId="125757AA" w14:textId="77777777" w:rsidTr="00802994">
        <w:trPr>
          <w:trHeight w:val="555"/>
          <w:tblCellSpacing w:w="20" w:type="dxa"/>
        </w:trPr>
        <w:tc>
          <w:tcPr>
            <w:tcW w:w="10217" w:type="dxa"/>
            <w:gridSpan w:val="7"/>
            <w:shd w:val="clear" w:color="000000" w:fill="FFFFFF"/>
            <w:noWrap/>
            <w:hideMark/>
          </w:tcPr>
          <w:p w14:paraId="352780DD" w14:textId="77777777" w:rsidR="00E1388F" w:rsidRDefault="00E1388F" w:rsidP="007F2CEE">
            <w:pPr>
              <w:spacing w:after="0" w:line="240" w:lineRule="auto"/>
              <w:jc w:val="both"/>
              <w:rPr>
                <w:rFonts w:eastAsia="Times New Roman"/>
                <w:color w:val="000000"/>
                <w:lang w:eastAsia="es-MX"/>
              </w:rPr>
            </w:pPr>
            <w:r w:rsidRPr="00802994">
              <w:rPr>
                <w:rFonts w:eastAsia="Times New Roman"/>
                <w:b/>
                <w:bCs/>
                <w:color w:val="000000"/>
                <w:lang w:eastAsia="es-MX"/>
              </w:rPr>
              <w:t>Descripción de las Técnicas y Modelos Utilizados:</w:t>
            </w:r>
            <w:r w:rsidR="00332B81">
              <w:rPr>
                <w:rFonts w:eastAsia="Times New Roman"/>
                <w:color w:val="000000"/>
                <w:lang w:eastAsia="es-MX"/>
              </w:rPr>
              <w:t xml:space="preserve"> </w:t>
            </w:r>
          </w:p>
          <w:p w14:paraId="478762EB" w14:textId="77777777" w:rsidR="00523D0C" w:rsidRDefault="00523D0C" w:rsidP="007F2CEE">
            <w:pPr>
              <w:spacing w:after="0" w:line="240" w:lineRule="auto"/>
              <w:jc w:val="both"/>
              <w:rPr>
                <w:rFonts w:eastAsia="Times New Roman"/>
                <w:color w:val="000000"/>
                <w:lang w:eastAsia="es-MX"/>
              </w:rPr>
            </w:pPr>
          </w:p>
          <w:p w14:paraId="2FEAB9E6" w14:textId="77777777" w:rsidR="00523D0C" w:rsidRDefault="00671B64" w:rsidP="007F2CEE">
            <w:pPr>
              <w:spacing w:after="0" w:line="240" w:lineRule="auto"/>
              <w:jc w:val="both"/>
              <w:rPr>
                <w:rFonts w:eastAsia="Times New Roman"/>
                <w:color w:val="000000"/>
                <w:lang w:eastAsia="es-MX"/>
              </w:rPr>
            </w:pPr>
            <w:r>
              <w:rPr>
                <w:rFonts w:eastAsia="Times New Roman"/>
                <w:color w:val="000000"/>
                <w:lang w:eastAsia="es-MX"/>
              </w:rPr>
              <w:t>Para cumplir con el objetivo de la evaluación, se debe organizar, revisar y valorar la información disponible para la evaluación proporcionada por las dependencias responsables del fondo en la entidad a través de la unidad coordinadora de la evacuación. La revisión documental se complementará con entrevistas a profundidad con los servidores públicos responsables de la gestión del fondo. La cantidad de las entrevistas y el perfil de los entrevistados dependerán de la calidad y cantidad de la evidencia documental proporcionada, y de la gestión del fondo en la entidad. La valoración de la información y el esquema de las entrevistas se deben presentar en formato libre.</w:t>
            </w:r>
          </w:p>
          <w:p w14:paraId="5AEA6EF1" w14:textId="77777777" w:rsidR="00671B64" w:rsidRDefault="00671B64" w:rsidP="007F2CEE">
            <w:pPr>
              <w:spacing w:after="0" w:line="240" w:lineRule="auto"/>
              <w:jc w:val="both"/>
              <w:rPr>
                <w:rFonts w:eastAsia="Times New Roman"/>
                <w:color w:val="000000"/>
                <w:lang w:eastAsia="es-MX"/>
              </w:rPr>
            </w:pPr>
          </w:p>
          <w:p w14:paraId="6EAEEAD7" w14:textId="78A09AB1" w:rsidR="00671B64" w:rsidRDefault="00671B64" w:rsidP="007F2CEE">
            <w:pPr>
              <w:spacing w:after="0" w:line="240" w:lineRule="auto"/>
              <w:jc w:val="both"/>
              <w:rPr>
                <w:rFonts w:eastAsia="Times New Roman"/>
                <w:color w:val="000000"/>
                <w:lang w:eastAsia="es-MX"/>
              </w:rPr>
            </w:pPr>
            <w:r>
              <w:rPr>
                <w:rFonts w:eastAsia="Times New Roman"/>
                <w:color w:val="000000"/>
                <w:lang w:eastAsia="es-MX"/>
              </w:rPr>
              <w:t xml:space="preserve">Derivado del análisis de la información y de las entrevistas realizadas se debe responder el instrumento de evaluación descrito en el Anexo A (Términos de referencia), a partir </w:t>
            </w:r>
            <w:r w:rsidR="008975B1">
              <w:rPr>
                <w:rFonts w:eastAsia="Times New Roman"/>
                <w:color w:val="000000"/>
                <w:lang w:eastAsia="es-MX"/>
              </w:rPr>
              <w:t>d</w:t>
            </w:r>
            <w:r>
              <w:rPr>
                <w:rFonts w:eastAsia="Times New Roman"/>
                <w:color w:val="000000"/>
                <w:lang w:eastAsia="es-MX"/>
              </w:rPr>
              <w:t>e este se debe elaborar un informe de evaluación que contenga todos los apartados del anexo.</w:t>
            </w:r>
          </w:p>
          <w:p w14:paraId="47742B66" w14:textId="77777777" w:rsidR="00671B64" w:rsidRDefault="00671B64" w:rsidP="007F2CEE">
            <w:pPr>
              <w:spacing w:after="0" w:line="240" w:lineRule="auto"/>
              <w:jc w:val="both"/>
              <w:rPr>
                <w:rFonts w:eastAsia="Times New Roman"/>
                <w:color w:val="000000"/>
                <w:lang w:eastAsia="es-MX"/>
              </w:rPr>
            </w:pPr>
          </w:p>
          <w:p w14:paraId="4EB1B41B" w14:textId="77777777" w:rsidR="00671B64" w:rsidRPr="00E1388F" w:rsidRDefault="00671B64" w:rsidP="00250CB1">
            <w:pPr>
              <w:spacing w:after="0" w:line="240" w:lineRule="auto"/>
              <w:jc w:val="both"/>
              <w:rPr>
                <w:rFonts w:eastAsia="Times New Roman"/>
                <w:color w:val="000000"/>
                <w:lang w:eastAsia="es-MX"/>
              </w:rPr>
            </w:pPr>
            <w:r>
              <w:rPr>
                <w:rFonts w:eastAsia="Times New Roman"/>
                <w:color w:val="000000"/>
                <w:lang w:eastAsia="es-MX"/>
              </w:rPr>
              <w:t xml:space="preserve">Se deberá considerar la realización de al menos tres reuniones durante el proceso de </w:t>
            </w:r>
            <w:r w:rsidR="007F2CEE">
              <w:rPr>
                <w:rFonts w:eastAsia="Times New Roman"/>
                <w:color w:val="000000"/>
                <w:lang w:eastAsia="es-MX"/>
              </w:rPr>
              <w:t>evaluación entre</w:t>
            </w:r>
            <w:r>
              <w:rPr>
                <w:rFonts w:eastAsia="Times New Roman"/>
                <w:color w:val="000000"/>
                <w:lang w:eastAsia="es-MX"/>
              </w:rPr>
              <w:t xml:space="preserve"> el proveedor, la unidad </w:t>
            </w:r>
            <w:r w:rsidR="007F2CEE">
              <w:rPr>
                <w:rFonts w:eastAsia="Times New Roman"/>
                <w:color w:val="000000"/>
                <w:lang w:eastAsia="es-MX"/>
              </w:rPr>
              <w:t>coordinadora de</w:t>
            </w:r>
            <w:r>
              <w:rPr>
                <w:rFonts w:eastAsia="Times New Roman"/>
                <w:color w:val="000000"/>
                <w:lang w:eastAsia="es-MX"/>
              </w:rPr>
              <w:t xml:space="preserve"> la evaluación y las dependencias responsables de la gestión del fondo en </w:t>
            </w:r>
            <w:r>
              <w:rPr>
                <w:rFonts w:eastAsia="Times New Roman"/>
                <w:color w:val="000000"/>
                <w:lang w:eastAsia="es-MX"/>
              </w:rPr>
              <w:lastRenderedPageBreak/>
              <w:t>la entidad</w:t>
            </w:r>
            <w:r w:rsidR="007F2CEE">
              <w:rPr>
                <w:rFonts w:eastAsia="Times New Roman"/>
                <w:color w:val="000000"/>
                <w:lang w:eastAsia="es-MX"/>
              </w:rPr>
              <w:t xml:space="preserve">. Una reunión inicial, previa a la entrega del primer producto, en la que se presenten los objetivos, el proceso y el instrumento de evaluación, y en la que se discutirá las necesidades y las dudas sobre la evidencia documental proporcionada. Una reunión intermedia, posterior a la entrega del segundo producto, en la que se discuta el informe inicial. Y una reunión final, posterior a la entrega del tercer producto, en la que discuta el informe final. </w:t>
            </w:r>
          </w:p>
        </w:tc>
      </w:tr>
    </w:tbl>
    <w:p w14:paraId="3BCABECB" w14:textId="77777777" w:rsidR="00EC63B6" w:rsidRDefault="00EC63B6"/>
    <w:tbl>
      <w:tblPr>
        <w:tblW w:w="10353"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4A0" w:firstRow="1" w:lastRow="0" w:firstColumn="1" w:lastColumn="0" w:noHBand="0" w:noVBand="1"/>
      </w:tblPr>
      <w:tblGrid>
        <w:gridCol w:w="5002"/>
        <w:gridCol w:w="5351"/>
      </w:tblGrid>
      <w:tr w:rsidR="00690BCC" w:rsidRPr="00E1388F" w14:paraId="47FBF1C2" w14:textId="77777777" w:rsidTr="00802994">
        <w:trPr>
          <w:trHeight w:val="300"/>
          <w:tblCellSpacing w:w="20" w:type="dxa"/>
        </w:trPr>
        <w:tc>
          <w:tcPr>
            <w:tcW w:w="10517" w:type="dxa"/>
            <w:gridSpan w:val="2"/>
            <w:shd w:val="clear" w:color="000000" w:fill="8B1D31"/>
            <w:noWrap/>
            <w:hideMark/>
          </w:tcPr>
          <w:p w14:paraId="6C0647C3" w14:textId="77777777" w:rsidR="00E1388F" w:rsidRPr="00E1388F" w:rsidRDefault="00E1388F" w:rsidP="00E1388F">
            <w:pPr>
              <w:spacing w:after="0" w:line="240" w:lineRule="auto"/>
              <w:rPr>
                <w:rFonts w:eastAsia="Times New Roman"/>
                <w:b/>
                <w:bCs/>
                <w:color w:val="FFFFFF"/>
                <w:lang w:eastAsia="es-MX"/>
              </w:rPr>
            </w:pPr>
            <w:r w:rsidRPr="00E1388F">
              <w:rPr>
                <w:rFonts w:eastAsia="Times New Roman"/>
                <w:b/>
                <w:bCs/>
                <w:color w:val="FFFFFF"/>
                <w:lang w:eastAsia="es-MX"/>
              </w:rPr>
              <w:t>2. Principales Hallazgos de la Evaluación</w:t>
            </w:r>
          </w:p>
        </w:tc>
      </w:tr>
      <w:tr w:rsidR="00690BCC" w:rsidRPr="00E1388F" w14:paraId="730B8EDF" w14:textId="77777777" w:rsidTr="00802994">
        <w:trPr>
          <w:trHeight w:val="465"/>
          <w:tblCellSpacing w:w="20" w:type="dxa"/>
        </w:trPr>
        <w:tc>
          <w:tcPr>
            <w:tcW w:w="10517" w:type="dxa"/>
            <w:gridSpan w:val="2"/>
            <w:shd w:val="clear" w:color="000000" w:fill="FFFFFF"/>
            <w:noWrap/>
            <w:hideMark/>
          </w:tcPr>
          <w:p w14:paraId="27768B4D" w14:textId="77777777" w:rsidR="00E1388F" w:rsidRPr="00802994" w:rsidRDefault="00E1388F" w:rsidP="00E1388F">
            <w:pPr>
              <w:spacing w:after="0" w:line="240" w:lineRule="auto"/>
              <w:rPr>
                <w:rFonts w:cstheme="minorHAnsi"/>
                <w:b/>
                <w:bCs/>
              </w:rPr>
            </w:pPr>
            <w:r w:rsidRPr="00802994">
              <w:rPr>
                <w:rFonts w:eastAsia="Times New Roman"/>
                <w:b/>
                <w:bCs/>
                <w:color w:val="000000"/>
                <w:lang w:eastAsia="es-MX"/>
              </w:rPr>
              <w:t>2.1 Describir</w:t>
            </w:r>
            <w:r w:rsidR="00690BCC" w:rsidRPr="00802994">
              <w:rPr>
                <w:rFonts w:eastAsia="Times New Roman"/>
                <w:b/>
                <w:bCs/>
                <w:color w:val="000000"/>
                <w:lang w:eastAsia="es-MX"/>
              </w:rPr>
              <w:t xml:space="preserve"> los Hallazgos más Relevantes d</w:t>
            </w:r>
            <w:r w:rsidRPr="00802994">
              <w:rPr>
                <w:rFonts w:eastAsia="Times New Roman"/>
                <w:b/>
                <w:bCs/>
                <w:color w:val="000000"/>
                <w:lang w:eastAsia="es-MX"/>
              </w:rPr>
              <w:t>e</w:t>
            </w:r>
            <w:r w:rsidR="00690BCC" w:rsidRPr="00802994">
              <w:rPr>
                <w:rFonts w:eastAsia="Times New Roman"/>
                <w:b/>
                <w:bCs/>
                <w:color w:val="000000"/>
                <w:lang w:eastAsia="es-MX"/>
              </w:rPr>
              <w:t xml:space="preserve"> </w:t>
            </w:r>
            <w:r w:rsidRPr="00802994">
              <w:rPr>
                <w:rFonts w:eastAsia="Times New Roman"/>
                <w:b/>
                <w:bCs/>
                <w:color w:val="000000"/>
                <w:lang w:eastAsia="es-MX"/>
              </w:rPr>
              <w:t>la Evaluación:</w:t>
            </w:r>
            <w:r w:rsidR="00BF25EA" w:rsidRPr="00802994">
              <w:rPr>
                <w:rFonts w:eastAsia="Times New Roman"/>
                <w:b/>
                <w:bCs/>
                <w:color w:val="000000"/>
                <w:lang w:eastAsia="es-MX"/>
              </w:rPr>
              <w:t xml:space="preserve"> </w:t>
            </w:r>
          </w:p>
          <w:p w14:paraId="09CACB10" w14:textId="77777777" w:rsidR="006D4135" w:rsidRDefault="006D4135" w:rsidP="00E1388F">
            <w:pPr>
              <w:spacing w:after="0" w:line="240" w:lineRule="auto"/>
              <w:rPr>
                <w:rFonts w:cstheme="minorHAnsi"/>
              </w:rPr>
            </w:pPr>
          </w:p>
          <w:p w14:paraId="43DCE03B" w14:textId="4589468A" w:rsidR="006D4135" w:rsidRDefault="006D4135" w:rsidP="00523D0C">
            <w:pPr>
              <w:spacing w:after="0" w:line="240" w:lineRule="auto"/>
              <w:jc w:val="both"/>
              <w:rPr>
                <w:rFonts w:cstheme="minorHAnsi"/>
              </w:rPr>
            </w:pPr>
            <w:r>
              <w:rPr>
                <w:rFonts w:cstheme="minorHAnsi"/>
              </w:rPr>
              <w:t>El fondo de Aportaciones para los servicios de Salud (FASSA)</w:t>
            </w:r>
            <w:r w:rsidR="00D76389">
              <w:rPr>
                <w:rFonts w:cstheme="minorHAnsi"/>
              </w:rPr>
              <w:t xml:space="preserve"> se publicó el 29 de diciembre de 1997 en el Diario Oficial de la Federación. Bajo ese mismo contexto, se crea el Decreto por el que se adiciona y reforma la Ley de Coordinación Fiscal con vigencia a partir del 1 de enero de 1998 la cual crea, el FASSA, cuyo sustento constitucional se enmarcan en lo establecido en los artículos 29,30 y 31 de la Ley de Coordinación Fiscal (LCF), artículos que señalan que tales recursos son para que el Estado lleve  </w:t>
            </w:r>
            <w:r w:rsidR="008975B1">
              <w:rPr>
                <w:rFonts w:cstheme="minorHAnsi"/>
              </w:rPr>
              <w:t>a cabo</w:t>
            </w:r>
            <w:r w:rsidR="00D76389">
              <w:rPr>
                <w:rFonts w:cstheme="minorHAnsi"/>
              </w:rPr>
              <w:t xml:space="preserve"> las atribuciones que tiene conferidas en los artículos 3°, 13 y 18 de la Ley General de Salud (LGS).</w:t>
            </w:r>
          </w:p>
          <w:p w14:paraId="0B9312DA" w14:textId="77777777" w:rsidR="00523D0C" w:rsidRDefault="00523D0C" w:rsidP="00523D0C">
            <w:pPr>
              <w:spacing w:after="0" w:line="240" w:lineRule="auto"/>
              <w:jc w:val="both"/>
              <w:rPr>
                <w:rFonts w:cstheme="minorHAnsi"/>
              </w:rPr>
            </w:pPr>
          </w:p>
          <w:p w14:paraId="2446D963" w14:textId="77777777" w:rsidR="00D76389" w:rsidRDefault="00D76389" w:rsidP="00523D0C">
            <w:pPr>
              <w:spacing w:after="0" w:line="240" w:lineRule="auto"/>
              <w:jc w:val="both"/>
              <w:rPr>
                <w:rFonts w:cstheme="minorHAnsi"/>
              </w:rPr>
            </w:pPr>
            <w:r>
              <w:rPr>
                <w:rFonts w:cstheme="minorHAnsi"/>
              </w:rPr>
              <w:t xml:space="preserve">La Secretaria de Salud es la dependencia coordinadora del FASSA a nivel nacional y en Sinaloa son los Servicios de Salud de Sinaloa (SSS). </w:t>
            </w:r>
          </w:p>
          <w:p w14:paraId="4D0E7A8A" w14:textId="77777777" w:rsidR="00523D0C" w:rsidRDefault="00523D0C" w:rsidP="00523D0C">
            <w:pPr>
              <w:spacing w:after="0" w:line="240" w:lineRule="auto"/>
              <w:jc w:val="both"/>
              <w:rPr>
                <w:rFonts w:cstheme="minorHAnsi"/>
              </w:rPr>
            </w:pPr>
          </w:p>
          <w:p w14:paraId="3F7FD63A" w14:textId="77777777" w:rsidR="00A5097A" w:rsidRDefault="00A5097A" w:rsidP="00523D0C">
            <w:pPr>
              <w:spacing w:after="0" w:line="240" w:lineRule="auto"/>
              <w:jc w:val="both"/>
              <w:rPr>
                <w:rFonts w:cstheme="minorHAnsi"/>
              </w:rPr>
            </w:pPr>
            <w:r>
              <w:rPr>
                <w:rFonts w:cstheme="minorHAnsi"/>
              </w:rPr>
              <w:t xml:space="preserve">El principal problema del Fondo, de acuerdo al árbol de problemas, es “la ineficiencia en la asignación de recursos federales a los Servicios Estatales de Salud, para otorgar servicios de salud con calidad” y tiene como principal objetivo “disminuir las diferencias que existen en los servicios de salud que se prestan a la población abierta, es decir, aquélla que no se encuentra incorporada en ningún régimen de seguridad social en el país, mediante la implementación </w:t>
            </w:r>
            <w:r w:rsidR="00A07932">
              <w:rPr>
                <w:rFonts w:cstheme="minorHAnsi"/>
              </w:rPr>
              <w:t>de mecanismos</w:t>
            </w:r>
            <w:r w:rsidR="001A250E">
              <w:rPr>
                <w:rFonts w:cstheme="minorHAnsi"/>
              </w:rPr>
              <w:t xml:space="preserve"> que apoyen las actividades de protección contra riesgos sanitarios; la promoción de la salud y prevención de enfermedades; la mejora en la calidad de la atención y la seguridad en salud; </w:t>
            </w:r>
            <w:r w:rsidR="00A07932">
              <w:rPr>
                <w:rFonts w:cstheme="minorHAnsi"/>
              </w:rPr>
              <w:t>así</w:t>
            </w:r>
            <w:r w:rsidR="001A250E">
              <w:rPr>
                <w:rFonts w:cstheme="minorHAnsi"/>
              </w:rPr>
              <w:t xml:space="preserve"> como el abasto y entrega oportunos y adecuados del medicamento”. </w:t>
            </w:r>
            <w:r>
              <w:rPr>
                <w:rFonts w:cstheme="minorHAnsi"/>
              </w:rPr>
              <w:t xml:space="preserve"> </w:t>
            </w:r>
          </w:p>
          <w:p w14:paraId="264A3D99" w14:textId="1C531DF5" w:rsidR="00A07932" w:rsidRDefault="00A07932" w:rsidP="00523D0C">
            <w:pPr>
              <w:spacing w:after="0" w:line="240" w:lineRule="auto"/>
              <w:jc w:val="both"/>
              <w:rPr>
                <w:rFonts w:cstheme="minorHAnsi"/>
              </w:rPr>
            </w:pPr>
            <w:r>
              <w:rPr>
                <w:rFonts w:cstheme="minorHAnsi"/>
              </w:rPr>
              <w:t xml:space="preserve">Para la integración y distribución de los </w:t>
            </w:r>
            <w:r w:rsidR="00D01D9D">
              <w:rPr>
                <w:rFonts w:cstheme="minorHAnsi"/>
              </w:rPr>
              <w:t>recursos</w:t>
            </w:r>
            <w:r>
              <w:rPr>
                <w:rFonts w:cstheme="minorHAnsi"/>
              </w:rPr>
              <w:t xml:space="preserve"> del FASSA entre las entidades federativas, la LCF describe una </w:t>
            </w:r>
            <w:r w:rsidR="008975B1">
              <w:rPr>
                <w:rFonts w:cstheme="minorHAnsi"/>
              </w:rPr>
              <w:t>fórmula</w:t>
            </w:r>
            <w:r>
              <w:rPr>
                <w:rFonts w:cstheme="minorHAnsi"/>
              </w:rPr>
              <w:t xml:space="preserve"> que considera el presupuesto del ejercicio fiscal inmediato anterior más las actualizaciones salariales </w:t>
            </w:r>
            <w:r w:rsidR="00D01D9D">
              <w:rPr>
                <w:rFonts w:cstheme="minorHAnsi"/>
              </w:rPr>
              <w:t xml:space="preserve">establecidas en los propios presupuestos, principalmente. </w:t>
            </w:r>
          </w:p>
          <w:p w14:paraId="0929D7D9" w14:textId="77777777" w:rsidR="00523D0C" w:rsidRDefault="00523D0C" w:rsidP="00523D0C">
            <w:pPr>
              <w:spacing w:after="0" w:line="240" w:lineRule="auto"/>
              <w:jc w:val="both"/>
              <w:rPr>
                <w:rFonts w:cstheme="minorHAnsi"/>
              </w:rPr>
            </w:pPr>
          </w:p>
          <w:p w14:paraId="254A5B54" w14:textId="00BB2630" w:rsidR="00D01D9D" w:rsidRDefault="00D01D9D" w:rsidP="00523D0C">
            <w:pPr>
              <w:spacing w:after="0" w:line="240" w:lineRule="auto"/>
              <w:jc w:val="both"/>
              <w:rPr>
                <w:rFonts w:cstheme="minorHAnsi"/>
              </w:rPr>
            </w:pPr>
            <w:r>
              <w:rPr>
                <w:rFonts w:cstheme="minorHAnsi"/>
              </w:rPr>
              <w:t>En la estrategia programática del FASSA para el ejercicio fiscal 201</w:t>
            </w:r>
            <w:r w:rsidR="008975B1">
              <w:rPr>
                <w:rFonts w:cstheme="minorHAnsi"/>
              </w:rPr>
              <w:t>8</w:t>
            </w:r>
            <w:r>
              <w:rPr>
                <w:rFonts w:cstheme="minorHAnsi"/>
              </w:rPr>
              <w:t xml:space="preserve"> se establece que las entidades federativas que reciben recursos a través del Fondo han enfocado sus acciones para dar cumplimiento a la metas y objetivos del Plan Nacional de Desarrollo 2013-2018. En este sentido, el Fondo contribuye a fortalecer la meta nacional México Incluyente que tiene como objetivo “Asegurar el acceso </w:t>
            </w:r>
            <w:r w:rsidR="003443FA">
              <w:rPr>
                <w:rFonts w:cstheme="minorHAnsi"/>
              </w:rPr>
              <w:t xml:space="preserve">a los servicios de salud” y como principal estrategia “Avanzar en la construcción de un sistema de salud universal”. </w:t>
            </w:r>
          </w:p>
          <w:p w14:paraId="309E6189" w14:textId="77777777" w:rsidR="00523D0C" w:rsidRDefault="00523D0C" w:rsidP="00523D0C">
            <w:pPr>
              <w:spacing w:after="0" w:line="240" w:lineRule="auto"/>
              <w:jc w:val="both"/>
              <w:rPr>
                <w:rFonts w:cstheme="minorHAnsi"/>
              </w:rPr>
            </w:pPr>
          </w:p>
          <w:p w14:paraId="47108B34" w14:textId="12731994" w:rsidR="003443FA" w:rsidRDefault="003443FA" w:rsidP="00523D0C">
            <w:pPr>
              <w:spacing w:after="0" w:line="240" w:lineRule="auto"/>
              <w:jc w:val="both"/>
              <w:rPr>
                <w:rFonts w:cstheme="minorHAnsi"/>
              </w:rPr>
            </w:pPr>
            <w:r>
              <w:rPr>
                <w:rFonts w:cstheme="minorHAnsi"/>
              </w:rPr>
              <w:t xml:space="preserve">El Fondo de aportaciones para los servicios de Salud (FASSA) tiene como principal objetivo aportar recursos a </w:t>
            </w:r>
            <w:r w:rsidR="008975B1">
              <w:rPr>
                <w:rFonts w:cstheme="minorHAnsi"/>
              </w:rPr>
              <w:t>las</w:t>
            </w:r>
            <w:r>
              <w:rPr>
                <w:rFonts w:cstheme="minorHAnsi"/>
              </w:rPr>
              <w:t xml:space="preserve"> entidades federativas para la prestación de servicios de salud a la población que no cuenta con empleo formal o no está incorporada en algún régimen de seguridad social que incluya el acceso a servicios de salud. </w:t>
            </w:r>
          </w:p>
          <w:p w14:paraId="60B919D6" w14:textId="77777777" w:rsidR="00523D0C" w:rsidRDefault="00523D0C" w:rsidP="00523D0C">
            <w:pPr>
              <w:spacing w:after="0" w:line="240" w:lineRule="auto"/>
              <w:jc w:val="both"/>
              <w:rPr>
                <w:rFonts w:cstheme="minorHAnsi"/>
              </w:rPr>
            </w:pPr>
          </w:p>
          <w:p w14:paraId="38211FAD" w14:textId="77777777" w:rsidR="003443FA" w:rsidRDefault="003443FA" w:rsidP="00523D0C">
            <w:pPr>
              <w:spacing w:after="0" w:line="240" w:lineRule="auto"/>
              <w:jc w:val="both"/>
              <w:rPr>
                <w:rFonts w:cstheme="minorHAnsi"/>
              </w:rPr>
            </w:pPr>
            <w:r>
              <w:rPr>
                <w:rFonts w:cstheme="minorHAnsi"/>
              </w:rPr>
              <w:t xml:space="preserve">El </w:t>
            </w:r>
            <w:r w:rsidR="0078369E">
              <w:rPr>
                <w:rFonts w:cstheme="minorHAnsi"/>
              </w:rPr>
              <w:t>Fondo</w:t>
            </w:r>
            <w:r>
              <w:rPr>
                <w:rFonts w:cstheme="minorHAnsi"/>
              </w:rPr>
              <w:t xml:space="preserve"> al ser un programa federal, cuenta con una Matriz de Indicadores para Resultados (MIR). Esta MIR se puede consultar en la </w:t>
            </w:r>
            <w:r w:rsidR="0078369E">
              <w:rPr>
                <w:rFonts w:cstheme="minorHAnsi"/>
              </w:rPr>
              <w:t>página</w:t>
            </w:r>
            <w:r>
              <w:rPr>
                <w:rFonts w:cstheme="minorHAnsi"/>
              </w:rPr>
              <w:t xml:space="preserve"> electrónica del CONEVAL o en la de la Secretaria de Salud: El cuadro siguiente presenta lo relativo al nivel de Fin y de Propósito. A consideración del equipo evaluador</w:t>
            </w:r>
            <w:r w:rsidR="0078369E">
              <w:rPr>
                <w:rFonts w:cstheme="minorHAnsi"/>
              </w:rPr>
              <w:t>, el Resumen Narrativo de del Fin y del Propósito es consistente con el problema a atender por el SP y el objetivo del SP. Los indicadores también son consistentes con el Resumen Narrativo. En este sentido se tiene que hay una lógica horizontal y vertical de la MIR.</w:t>
            </w:r>
          </w:p>
          <w:p w14:paraId="69C91021" w14:textId="77777777" w:rsidR="0078369E" w:rsidRDefault="0078369E" w:rsidP="00523D0C">
            <w:pPr>
              <w:spacing w:after="0" w:line="240" w:lineRule="auto"/>
              <w:jc w:val="both"/>
              <w:rPr>
                <w:rFonts w:cstheme="minorHAnsi"/>
              </w:rPr>
            </w:pPr>
            <w:r>
              <w:rPr>
                <w:rFonts w:cstheme="minorHAnsi"/>
              </w:rPr>
              <w:t xml:space="preserve">Se analizaron algunos de los indicadores para resultados del FASSA definidos por la Secretaria de Salud, los cuales evidencian la calidad y oportunidad de los servicios de salud a la población abierta; los resultados son los siguientes: </w:t>
            </w:r>
          </w:p>
          <w:p w14:paraId="617CAB7C" w14:textId="77777777" w:rsidR="0078369E" w:rsidRDefault="0078369E" w:rsidP="00523D0C">
            <w:pPr>
              <w:spacing w:after="0" w:line="240" w:lineRule="auto"/>
              <w:jc w:val="both"/>
              <w:rPr>
                <w:rFonts w:cstheme="minorHAnsi"/>
              </w:rPr>
            </w:pPr>
            <w:r>
              <w:rPr>
                <w:rFonts w:cstheme="minorHAnsi"/>
              </w:rPr>
              <w:t xml:space="preserve">En el Estado de Sinaloa se alcanzó un alto porcentaje de usuarios satisfechos con la </w:t>
            </w:r>
            <w:r w:rsidR="00F44A30">
              <w:rPr>
                <w:rFonts w:cstheme="minorHAnsi"/>
              </w:rPr>
              <w:t>calidad</w:t>
            </w:r>
            <w:r>
              <w:rPr>
                <w:rFonts w:cstheme="minorHAnsi"/>
              </w:rPr>
              <w:t xml:space="preserve"> de medicamentos entregados, establecido por la Secretaria de Salud en indicador</w:t>
            </w:r>
            <w:r w:rsidR="00F44A30">
              <w:rPr>
                <w:rFonts w:cstheme="minorHAnsi"/>
              </w:rPr>
              <w:t xml:space="preserve"> “Satisfacción por el Surtimiento de Medicamentos”, del índice “Trato Digno en Primer Nivel” que es mayor o igual que el 95.0%, El promedio nacional registró niveles preventivos con el 90.2% en la entrega de medicamentos prescritos por el medico en centros de salud. La disponibilidad de medicamentos constituye un aspecto fundamental para la atención de la salid de la población abierta.</w:t>
            </w:r>
          </w:p>
          <w:p w14:paraId="06CBAAAA" w14:textId="77777777" w:rsidR="00523D0C" w:rsidRDefault="00523D0C" w:rsidP="00523D0C">
            <w:pPr>
              <w:spacing w:after="0" w:line="240" w:lineRule="auto"/>
              <w:jc w:val="both"/>
              <w:rPr>
                <w:rFonts w:cstheme="minorHAnsi"/>
              </w:rPr>
            </w:pPr>
          </w:p>
          <w:p w14:paraId="4E5EDD7A" w14:textId="77777777" w:rsidR="00F44A30" w:rsidRDefault="00F44A30" w:rsidP="00523D0C">
            <w:pPr>
              <w:spacing w:after="0" w:line="240" w:lineRule="auto"/>
              <w:jc w:val="both"/>
              <w:rPr>
                <w:rFonts w:cstheme="minorHAnsi"/>
              </w:rPr>
            </w:pPr>
            <w:r>
              <w:rPr>
                <w:rFonts w:cstheme="minorHAnsi"/>
              </w:rPr>
              <w:t xml:space="preserve">El indicador “Satisfacción por la Oportunidad en la Atención” del índice “Trato Digno en Segundo Nivel Urgencias” reporto estándares superiores al 87.6% de usuarios satisfechos con el tiempo de espera en el servicio de urgencias de las entidades federativas, el porcentaje determinado por la Secretaria de Salud, que es mayor o igual que el 85.0%. </w:t>
            </w:r>
          </w:p>
          <w:p w14:paraId="2863611F" w14:textId="77777777" w:rsidR="00523D0C" w:rsidRDefault="00523D0C" w:rsidP="00523D0C">
            <w:pPr>
              <w:spacing w:after="0" w:line="240" w:lineRule="auto"/>
              <w:jc w:val="both"/>
              <w:rPr>
                <w:rFonts w:cstheme="minorHAnsi"/>
              </w:rPr>
            </w:pPr>
          </w:p>
          <w:p w14:paraId="0791A6E6" w14:textId="77777777" w:rsidR="00F44A30" w:rsidRDefault="00F44A30" w:rsidP="00523D0C">
            <w:pPr>
              <w:spacing w:after="0" w:line="240" w:lineRule="auto"/>
              <w:jc w:val="both"/>
              <w:rPr>
                <w:rFonts w:cstheme="minorHAnsi"/>
              </w:rPr>
            </w:pPr>
            <w:r>
              <w:rPr>
                <w:rFonts w:cstheme="minorHAnsi"/>
              </w:rPr>
              <w:t xml:space="preserve">Es importante hacer notar que a pesar de los cambios gubernamentales los parámetros se han mantenido constantes lo que ha permitido que los indicadores vayan a alza o por lo menos se mantengan, aunado que el Estado de Sinaloa dio prioridad a la continuidad e implementación de la MIR. </w:t>
            </w:r>
          </w:p>
          <w:p w14:paraId="79BC87B7" w14:textId="77777777" w:rsidR="00D76389" w:rsidRDefault="00D76389" w:rsidP="00E1388F">
            <w:pPr>
              <w:spacing w:after="0" w:line="240" w:lineRule="auto"/>
              <w:rPr>
                <w:rFonts w:cstheme="minorHAnsi"/>
              </w:rPr>
            </w:pPr>
          </w:p>
          <w:p w14:paraId="50AF603B" w14:textId="77777777" w:rsidR="00D76389" w:rsidRPr="00E1388F" w:rsidRDefault="00D76389" w:rsidP="00E1388F">
            <w:pPr>
              <w:spacing w:after="0" w:line="240" w:lineRule="auto"/>
              <w:rPr>
                <w:rFonts w:eastAsia="Times New Roman"/>
                <w:color w:val="000000"/>
                <w:lang w:eastAsia="es-MX"/>
              </w:rPr>
            </w:pPr>
          </w:p>
        </w:tc>
      </w:tr>
      <w:tr w:rsidR="00690BCC" w:rsidRPr="00802994" w14:paraId="2C970E7C" w14:textId="77777777" w:rsidTr="00802994">
        <w:trPr>
          <w:trHeight w:val="660"/>
          <w:tblCellSpacing w:w="20" w:type="dxa"/>
        </w:trPr>
        <w:tc>
          <w:tcPr>
            <w:tcW w:w="10517" w:type="dxa"/>
            <w:gridSpan w:val="2"/>
            <w:shd w:val="clear" w:color="auto" w:fill="D9D9D9" w:themeFill="background1" w:themeFillShade="D9"/>
            <w:hideMark/>
          </w:tcPr>
          <w:p w14:paraId="1D75003E" w14:textId="77777777" w:rsidR="00E1388F" w:rsidRPr="00802994" w:rsidRDefault="00E1388F" w:rsidP="00E1388F">
            <w:pPr>
              <w:spacing w:after="0" w:line="240" w:lineRule="auto"/>
              <w:rPr>
                <w:rFonts w:eastAsia="Times New Roman"/>
                <w:b/>
                <w:bCs/>
                <w:color w:val="000000"/>
                <w:lang w:eastAsia="es-MX"/>
              </w:rPr>
            </w:pPr>
            <w:r w:rsidRPr="00802994">
              <w:rPr>
                <w:rFonts w:eastAsia="Times New Roman"/>
                <w:b/>
                <w:bCs/>
                <w:color w:val="000000"/>
                <w:lang w:eastAsia="es-MX"/>
              </w:rPr>
              <w:lastRenderedPageBreak/>
              <w:t xml:space="preserve">2.2 Señalar </w:t>
            </w:r>
            <w:r w:rsidR="00690BCC" w:rsidRPr="00802994">
              <w:rPr>
                <w:rFonts w:eastAsia="Times New Roman"/>
                <w:b/>
                <w:bCs/>
                <w:color w:val="000000"/>
                <w:lang w:eastAsia="es-MX"/>
              </w:rPr>
              <w:t>Cuáles</w:t>
            </w:r>
            <w:r w:rsidRPr="00802994">
              <w:rPr>
                <w:rFonts w:eastAsia="Times New Roman"/>
                <w:b/>
                <w:bCs/>
                <w:color w:val="000000"/>
                <w:lang w:eastAsia="es-MX"/>
              </w:rPr>
              <w:t xml:space="preserve"> son las Principales Fortalezas, Oportunidades, Debilidades y Amenazas (FODA), de Acuerdo con los temas del Programa, Estrategia o Instituciones.</w:t>
            </w:r>
          </w:p>
        </w:tc>
      </w:tr>
      <w:tr w:rsidR="00690BCC" w:rsidRPr="00E1388F" w14:paraId="33F2CD58" w14:textId="77777777" w:rsidTr="00802994">
        <w:trPr>
          <w:trHeight w:val="555"/>
          <w:tblCellSpacing w:w="20" w:type="dxa"/>
        </w:trPr>
        <w:tc>
          <w:tcPr>
            <w:tcW w:w="5060" w:type="dxa"/>
            <w:vMerge w:val="restart"/>
            <w:shd w:val="clear" w:color="000000" w:fill="FFFFFF"/>
            <w:noWrap/>
            <w:hideMark/>
          </w:tcPr>
          <w:p w14:paraId="3A137B39" w14:textId="77777777" w:rsidR="00BF25EA" w:rsidRPr="004179E0" w:rsidRDefault="00E1388F" w:rsidP="004179E0">
            <w:pPr>
              <w:spacing w:after="0" w:line="240" w:lineRule="auto"/>
              <w:jc w:val="both"/>
              <w:rPr>
                <w:rFonts w:eastAsia="Times New Roman"/>
                <w:b/>
                <w:bCs/>
                <w:color w:val="000000"/>
                <w:lang w:eastAsia="es-MX"/>
              </w:rPr>
            </w:pPr>
            <w:r w:rsidRPr="004179E0">
              <w:rPr>
                <w:rFonts w:eastAsia="Times New Roman"/>
                <w:b/>
                <w:bCs/>
                <w:color w:val="000000"/>
                <w:lang w:eastAsia="es-MX"/>
              </w:rPr>
              <w:t>2.2.1 Fortalezas:</w:t>
            </w:r>
            <w:r w:rsidR="00BF25EA" w:rsidRPr="004179E0">
              <w:rPr>
                <w:rFonts w:eastAsia="Times New Roman"/>
                <w:b/>
                <w:bCs/>
                <w:color w:val="000000"/>
                <w:lang w:eastAsia="es-MX"/>
              </w:rPr>
              <w:t xml:space="preserve"> Señalar los puntos más importantes de los que se obtiene un mayor rendimiento.</w:t>
            </w:r>
          </w:p>
          <w:p w14:paraId="186AFAD3" w14:textId="77777777" w:rsidR="00F9079B" w:rsidRDefault="00F9079B" w:rsidP="004179E0">
            <w:pPr>
              <w:spacing w:after="0" w:line="240" w:lineRule="auto"/>
              <w:jc w:val="both"/>
              <w:rPr>
                <w:rFonts w:eastAsia="Times New Roman"/>
                <w:color w:val="000000"/>
                <w:lang w:eastAsia="es-MX"/>
              </w:rPr>
            </w:pPr>
          </w:p>
          <w:p w14:paraId="5B251E35" w14:textId="77777777" w:rsidR="00CE41B7" w:rsidRDefault="00CE41B7" w:rsidP="004179E0">
            <w:pPr>
              <w:pStyle w:val="Prrafodelista"/>
              <w:numPr>
                <w:ilvl w:val="0"/>
                <w:numId w:val="29"/>
              </w:numPr>
              <w:spacing w:after="0" w:line="240" w:lineRule="auto"/>
              <w:jc w:val="both"/>
              <w:rPr>
                <w:rFonts w:eastAsia="Times New Roman"/>
                <w:color w:val="000000"/>
                <w:lang w:eastAsia="es-MX"/>
              </w:rPr>
            </w:pPr>
            <w:r>
              <w:rPr>
                <w:rFonts w:eastAsia="Times New Roman"/>
                <w:color w:val="000000"/>
                <w:lang w:eastAsia="es-MX"/>
              </w:rPr>
              <w:t xml:space="preserve">El FASSA es un fondo relevante porque financia un alto porcentaje del personal </w:t>
            </w:r>
            <w:r w:rsidR="007E1C77">
              <w:rPr>
                <w:rFonts w:eastAsia="Times New Roman"/>
                <w:color w:val="000000"/>
                <w:lang w:eastAsia="es-MX"/>
              </w:rPr>
              <w:t xml:space="preserve">de la plantilla de los servicios de salud en la entidad. Así el Fondo es una fuente de financiamiento relevante al interior de la organización y puede motivar acciones de </w:t>
            </w:r>
            <w:r w:rsidR="007E1C77">
              <w:rPr>
                <w:rFonts w:eastAsia="Times New Roman"/>
                <w:color w:val="000000"/>
                <w:lang w:eastAsia="es-MX"/>
              </w:rPr>
              <w:lastRenderedPageBreak/>
              <w:t xml:space="preserve">mejora en la operación de sus recursos. </w:t>
            </w:r>
          </w:p>
          <w:p w14:paraId="3A04C1E1" w14:textId="77777777" w:rsidR="007E1C77" w:rsidRDefault="007E1C77" w:rsidP="004179E0">
            <w:pPr>
              <w:pStyle w:val="Prrafodelista"/>
              <w:numPr>
                <w:ilvl w:val="0"/>
                <w:numId w:val="29"/>
              </w:numPr>
              <w:spacing w:after="0" w:line="240" w:lineRule="auto"/>
              <w:jc w:val="both"/>
              <w:rPr>
                <w:rFonts w:eastAsia="Times New Roman"/>
                <w:color w:val="000000"/>
                <w:lang w:eastAsia="es-MX"/>
              </w:rPr>
            </w:pPr>
            <w:r>
              <w:rPr>
                <w:rFonts w:eastAsia="Times New Roman"/>
                <w:color w:val="000000"/>
                <w:lang w:eastAsia="es-MX"/>
              </w:rPr>
              <w:t xml:space="preserve">Adecuada alineación de objetivos y metas con los instrumentos de planeación del ámbito federal y estatal. </w:t>
            </w:r>
          </w:p>
          <w:p w14:paraId="638E9A6B" w14:textId="77777777" w:rsidR="007E1C77" w:rsidRDefault="007E1C77" w:rsidP="004179E0">
            <w:pPr>
              <w:pStyle w:val="Prrafodelista"/>
              <w:numPr>
                <w:ilvl w:val="0"/>
                <w:numId w:val="29"/>
              </w:numPr>
              <w:spacing w:after="0" w:line="240" w:lineRule="auto"/>
              <w:jc w:val="both"/>
              <w:rPr>
                <w:rFonts w:eastAsia="Times New Roman"/>
                <w:color w:val="000000"/>
                <w:lang w:eastAsia="es-MX"/>
              </w:rPr>
            </w:pPr>
            <w:r>
              <w:rPr>
                <w:rFonts w:eastAsia="Times New Roman"/>
                <w:color w:val="000000"/>
                <w:lang w:eastAsia="es-MX"/>
              </w:rPr>
              <w:t xml:space="preserve">Metas claramente definidas y programadas que abonan al alcance de objetivo del Fondo evaluado. </w:t>
            </w:r>
          </w:p>
          <w:p w14:paraId="70C6F839" w14:textId="77777777" w:rsidR="007E1C77" w:rsidRDefault="007E1C77" w:rsidP="004179E0">
            <w:pPr>
              <w:pStyle w:val="Prrafodelista"/>
              <w:numPr>
                <w:ilvl w:val="0"/>
                <w:numId w:val="29"/>
              </w:numPr>
              <w:spacing w:after="0" w:line="240" w:lineRule="auto"/>
              <w:jc w:val="both"/>
              <w:rPr>
                <w:rFonts w:eastAsia="Times New Roman"/>
                <w:color w:val="000000"/>
                <w:lang w:eastAsia="es-MX"/>
              </w:rPr>
            </w:pPr>
            <w:r>
              <w:rPr>
                <w:rFonts w:eastAsia="Times New Roman"/>
                <w:color w:val="000000"/>
                <w:lang w:eastAsia="es-MX"/>
              </w:rPr>
              <w:t xml:space="preserve">Los indicadores correspondientes a las matrices cuentan con las características de temporalidad y línea base. </w:t>
            </w:r>
          </w:p>
          <w:p w14:paraId="1C2D9E7E" w14:textId="77777777" w:rsidR="00C7196F" w:rsidRDefault="00C7196F" w:rsidP="004179E0">
            <w:pPr>
              <w:pStyle w:val="Prrafodelista"/>
              <w:numPr>
                <w:ilvl w:val="0"/>
                <w:numId w:val="29"/>
              </w:numPr>
              <w:spacing w:after="0" w:line="240" w:lineRule="auto"/>
              <w:jc w:val="both"/>
              <w:rPr>
                <w:rFonts w:eastAsia="Times New Roman"/>
                <w:color w:val="000000"/>
                <w:lang w:eastAsia="es-MX"/>
              </w:rPr>
            </w:pPr>
            <w:r>
              <w:rPr>
                <w:rFonts w:eastAsia="Times New Roman"/>
                <w:color w:val="000000"/>
                <w:lang w:eastAsia="es-MX"/>
              </w:rPr>
              <w:t xml:space="preserve">Los programas del fondo identifican claramente a la población objetivo a la cual están destinados los bienes y servicios que proporcionan. </w:t>
            </w:r>
          </w:p>
          <w:p w14:paraId="1D25FDF3" w14:textId="77777777" w:rsidR="00C7196F" w:rsidRDefault="00C7196F" w:rsidP="004179E0">
            <w:pPr>
              <w:pStyle w:val="Prrafodelista"/>
              <w:numPr>
                <w:ilvl w:val="0"/>
                <w:numId w:val="29"/>
              </w:numPr>
              <w:spacing w:after="0" w:line="240" w:lineRule="auto"/>
              <w:jc w:val="both"/>
              <w:rPr>
                <w:rFonts w:eastAsia="Times New Roman"/>
                <w:color w:val="000000"/>
                <w:lang w:eastAsia="es-MX"/>
              </w:rPr>
            </w:pPr>
            <w:r>
              <w:rPr>
                <w:rFonts w:eastAsia="Times New Roman"/>
                <w:color w:val="000000"/>
                <w:lang w:eastAsia="es-MX"/>
              </w:rPr>
              <w:t xml:space="preserve">El fondo cuenta con métodos que permiten cuantificar y determinar la población objetivo. </w:t>
            </w:r>
          </w:p>
          <w:p w14:paraId="558C1344" w14:textId="77777777" w:rsidR="00C7196F" w:rsidRDefault="00C7196F" w:rsidP="004179E0">
            <w:pPr>
              <w:pStyle w:val="Prrafodelista"/>
              <w:numPr>
                <w:ilvl w:val="0"/>
                <w:numId w:val="29"/>
              </w:numPr>
              <w:spacing w:after="0" w:line="240" w:lineRule="auto"/>
              <w:jc w:val="both"/>
              <w:rPr>
                <w:rFonts w:eastAsia="Times New Roman"/>
                <w:color w:val="000000"/>
                <w:lang w:eastAsia="es-MX"/>
              </w:rPr>
            </w:pPr>
            <w:r>
              <w:rPr>
                <w:rFonts w:eastAsia="Times New Roman"/>
                <w:color w:val="000000"/>
                <w:lang w:eastAsia="es-MX"/>
              </w:rPr>
              <w:t xml:space="preserve">El fondo ha logrado establecer un avance en atención a la población objetivo antes identificada. </w:t>
            </w:r>
          </w:p>
          <w:p w14:paraId="79CBF62F" w14:textId="7D7CE9F6" w:rsidR="00C7196F" w:rsidRDefault="00C7196F" w:rsidP="004179E0">
            <w:pPr>
              <w:pStyle w:val="Prrafodelista"/>
              <w:numPr>
                <w:ilvl w:val="0"/>
                <w:numId w:val="29"/>
              </w:numPr>
              <w:spacing w:after="0" w:line="240" w:lineRule="auto"/>
              <w:jc w:val="both"/>
              <w:rPr>
                <w:rFonts w:eastAsia="Times New Roman"/>
                <w:color w:val="000000"/>
                <w:lang w:eastAsia="es-MX"/>
              </w:rPr>
            </w:pPr>
            <w:r>
              <w:rPr>
                <w:rFonts w:eastAsia="Times New Roman"/>
                <w:color w:val="000000"/>
                <w:lang w:eastAsia="es-MX"/>
              </w:rPr>
              <w:t>El organismo estatal cuenta con Matriz de Marco Lógico que sustenta su proceso de planeación, programación, seguimiento y evaluación 201</w:t>
            </w:r>
            <w:r w:rsidR="008975B1">
              <w:rPr>
                <w:rFonts w:eastAsia="Times New Roman"/>
                <w:color w:val="000000"/>
                <w:lang w:eastAsia="es-MX"/>
              </w:rPr>
              <w:t>8</w:t>
            </w:r>
            <w:r>
              <w:rPr>
                <w:rFonts w:eastAsia="Times New Roman"/>
                <w:color w:val="000000"/>
                <w:lang w:eastAsia="es-MX"/>
              </w:rPr>
              <w:t xml:space="preserve">, congruente con la lógica vertical y horizontal de acuerdo a la metodología. </w:t>
            </w:r>
          </w:p>
          <w:p w14:paraId="20B06B27" w14:textId="77777777" w:rsidR="00EB2CDE" w:rsidRDefault="00EB2CDE" w:rsidP="004179E0">
            <w:pPr>
              <w:pStyle w:val="Prrafodelista"/>
              <w:numPr>
                <w:ilvl w:val="0"/>
                <w:numId w:val="29"/>
              </w:numPr>
              <w:spacing w:after="0" w:line="240" w:lineRule="auto"/>
              <w:jc w:val="both"/>
              <w:rPr>
                <w:rFonts w:eastAsia="Times New Roman"/>
                <w:color w:val="000000"/>
                <w:lang w:eastAsia="es-MX"/>
              </w:rPr>
            </w:pPr>
            <w:r>
              <w:rPr>
                <w:rFonts w:eastAsia="Times New Roman"/>
                <w:color w:val="000000"/>
                <w:lang w:eastAsia="es-MX"/>
              </w:rPr>
              <w:t xml:space="preserve">Cuenta con una estructura organizacional donde claramente se establece los objetivos para alcanzar el propósito y el fin. </w:t>
            </w:r>
          </w:p>
          <w:p w14:paraId="2B0B773C" w14:textId="77777777" w:rsidR="00C7196F" w:rsidRDefault="00EB2CDE" w:rsidP="004179E0">
            <w:pPr>
              <w:pStyle w:val="Prrafodelista"/>
              <w:numPr>
                <w:ilvl w:val="0"/>
                <w:numId w:val="29"/>
              </w:numPr>
              <w:spacing w:after="0" w:line="240" w:lineRule="auto"/>
              <w:jc w:val="both"/>
              <w:rPr>
                <w:rFonts w:eastAsia="Times New Roman"/>
                <w:color w:val="000000"/>
                <w:lang w:eastAsia="es-MX"/>
              </w:rPr>
            </w:pPr>
            <w:r>
              <w:rPr>
                <w:rFonts w:eastAsia="Times New Roman"/>
                <w:color w:val="000000"/>
                <w:lang w:eastAsia="es-MX"/>
              </w:rPr>
              <w:t>Se cuenta con mecanismos de transparencia para los recursos estatales y de transparencia federal.</w:t>
            </w:r>
          </w:p>
          <w:p w14:paraId="71E9F7E2" w14:textId="77777777" w:rsidR="00EB2CDE" w:rsidRDefault="00EB2CDE" w:rsidP="004179E0">
            <w:pPr>
              <w:pStyle w:val="Prrafodelista"/>
              <w:numPr>
                <w:ilvl w:val="0"/>
                <w:numId w:val="29"/>
              </w:numPr>
              <w:spacing w:after="0" w:line="240" w:lineRule="auto"/>
              <w:jc w:val="both"/>
              <w:rPr>
                <w:rFonts w:eastAsia="Times New Roman"/>
                <w:color w:val="000000"/>
                <w:lang w:eastAsia="es-MX"/>
              </w:rPr>
            </w:pPr>
            <w:r>
              <w:rPr>
                <w:rFonts w:eastAsia="Times New Roman"/>
                <w:color w:val="000000"/>
                <w:lang w:eastAsia="es-MX"/>
              </w:rPr>
              <w:t xml:space="preserve">El presupuesto asignado a los programas que atienden directamente el objetivo del fondo, refleja un efectivo flujo de recurso asignado. </w:t>
            </w:r>
          </w:p>
          <w:p w14:paraId="37D7970F" w14:textId="77777777" w:rsidR="00EB2CDE" w:rsidRDefault="00EB2CDE" w:rsidP="004179E0">
            <w:pPr>
              <w:pStyle w:val="Prrafodelista"/>
              <w:numPr>
                <w:ilvl w:val="0"/>
                <w:numId w:val="29"/>
              </w:numPr>
              <w:spacing w:after="0" w:line="240" w:lineRule="auto"/>
              <w:jc w:val="both"/>
              <w:rPr>
                <w:rFonts w:eastAsia="Times New Roman"/>
                <w:color w:val="000000"/>
                <w:lang w:eastAsia="es-MX"/>
              </w:rPr>
            </w:pPr>
            <w:r>
              <w:rPr>
                <w:rFonts w:eastAsia="Times New Roman"/>
                <w:color w:val="000000"/>
                <w:lang w:eastAsia="es-MX"/>
              </w:rPr>
              <w:t xml:space="preserve">Se cuenta con indicadores definidos que permiten dar seguimiento puntual, a los compromisos y objetivos a nivel institución, permitiendo conocer las áreas de oportunidad de mejora. </w:t>
            </w:r>
          </w:p>
          <w:p w14:paraId="64CADAF6" w14:textId="77777777" w:rsidR="00EB2CDE" w:rsidRDefault="00EB2CDE" w:rsidP="004179E0">
            <w:pPr>
              <w:pStyle w:val="Prrafodelista"/>
              <w:numPr>
                <w:ilvl w:val="0"/>
                <w:numId w:val="29"/>
              </w:numPr>
              <w:spacing w:after="0" w:line="240" w:lineRule="auto"/>
              <w:jc w:val="both"/>
              <w:rPr>
                <w:rFonts w:eastAsia="Times New Roman"/>
                <w:color w:val="000000"/>
                <w:lang w:eastAsia="es-MX"/>
              </w:rPr>
            </w:pPr>
            <w:r>
              <w:rPr>
                <w:rFonts w:eastAsia="Times New Roman"/>
                <w:color w:val="000000"/>
                <w:lang w:eastAsia="es-MX"/>
              </w:rPr>
              <w:lastRenderedPageBreak/>
              <w:t xml:space="preserve">Se cuenta con un excelente porcentaje de cobertura de atención a la población. </w:t>
            </w:r>
          </w:p>
          <w:p w14:paraId="553EF844" w14:textId="77777777" w:rsidR="00EB2CDE" w:rsidRDefault="00EB2CDE" w:rsidP="004179E0">
            <w:pPr>
              <w:pStyle w:val="Prrafodelista"/>
              <w:numPr>
                <w:ilvl w:val="0"/>
                <w:numId w:val="29"/>
              </w:numPr>
              <w:spacing w:after="0" w:line="240" w:lineRule="auto"/>
              <w:jc w:val="both"/>
              <w:rPr>
                <w:rFonts w:eastAsia="Times New Roman"/>
                <w:color w:val="000000"/>
                <w:lang w:eastAsia="es-MX"/>
              </w:rPr>
            </w:pPr>
            <w:r>
              <w:rPr>
                <w:rFonts w:eastAsia="Times New Roman"/>
                <w:color w:val="000000"/>
                <w:lang w:eastAsia="es-MX"/>
              </w:rPr>
              <w:t xml:space="preserve">Los indicadores, metas y objetivos correspondientes a los planes cuentan con viabilidad y factibilidad para su desarrollo. </w:t>
            </w:r>
          </w:p>
          <w:p w14:paraId="6BC72DEE" w14:textId="77777777" w:rsidR="00CB072B" w:rsidRDefault="00CB072B" w:rsidP="004179E0">
            <w:pPr>
              <w:pStyle w:val="Prrafodelista"/>
              <w:numPr>
                <w:ilvl w:val="0"/>
                <w:numId w:val="29"/>
              </w:numPr>
              <w:spacing w:after="0" w:line="240" w:lineRule="auto"/>
              <w:jc w:val="both"/>
              <w:rPr>
                <w:rFonts w:eastAsia="Times New Roman"/>
                <w:color w:val="000000"/>
                <w:lang w:eastAsia="es-MX"/>
              </w:rPr>
            </w:pPr>
            <w:r>
              <w:rPr>
                <w:rFonts w:eastAsia="Times New Roman"/>
                <w:color w:val="000000"/>
                <w:lang w:eastAsia="es-MX"/>
              </w:rPr>
              <w:t>La relación con las Secretarias de Salud estatal y federal es influida por que se estandarizado la forma en la que se presentan los requerimientos de información. Ello contribuye a agilizar las actividades de coordinación y rendición de cuentas.</w:t>
            </w:r>
          </w:p>
          <w:p w14:paraId="5339EC82" w14:textId="77777777" w:rsidR="00CB072B" w:rsidRPr="00CE41B7" w:rsidRDefault="00CB072B" w:rsidP="004179E0">
            <w:pPr>
              <w:pStyle w:val="Prrafodelista"/>
              <w:numPr>
                <w:ilvl w:val="0"/>
                <w:numId w:val="29"/>
              </w:numPr>
              <w:spacing w:after="0" w:line="240" w:lineRule="auto"/>
              <w:jc w:val="both"/>
              <w:rPr>
                <w:rFonts w:eastAsia="Times New Roman"/>
                <w:color w:val="000000"/>
                <w:lang w:eastAsia="es-MX"/>
              </w:rPr>
            </w:pPr>
            <w:r>
              <w:rPr>
                <w:rFonts w:eastAsia="Times New Roman"/>
                <w:color w:val="000000"/>
                <w:lang w:eastAsia="es-MX"/>
              </w:rPr>
              <w:t xml:space="preserve">La programación se realiza colaborativamente con la participación de las áreas y por ellos existe comunicación al interior del ejecutor del gasto. </w:t>
            </w:r>
          </w:p>
        </w:tc>
        <w:tc>
          <w:tcPr>
            <w:tcW w:w="5417" w:type="dxa"/>
            <w:vMerge w:val="restart"/>
            <w:shd w:val="clear" w:color="000000" w:fill="FFFFFF"/>
            <w:noWrap/>
            <w:hideMark/>
          </w:tcPr>
          <w:p w14:paraId="70332A8A" w14:textId="77777777" w:rsidR="00E1388F" w:rsidRPr="004179E0" w:rsidRDefault="00250CB1" w:rsidP="004179E0">
            <w:pPr>
              <w:spacing w:after="0" w:line="240" w:lineRule="auto"/>
              <w:jc w:val="both"/>
              <w:rPr>
                <w:rFonts w:eastAsia="Times New Roman"/>
                <w:b/>
                <w:bCs/>
                <w:color w:val="000000"/>
                <w:lang w:eastAsia="es-MX"/>
              </w:rPr>
            </w:pPr>
            <w:r w:rsidRPr="004179E0">
              <w:rPr>
                <w:rFonts w:eastAsia="Times New Roman"/>
                <w:b/>
                <w:bCs/>
                <w:color w:val="000000"/>
                <w:lang w:eastAsia="es-MX"/>
              </w:rPr>
              <w:lastRenderedPageBreak/>
              <w:t>2.2.2 Oportunidades</w:t>
            </w:r>
            <w:r w:rsidR="00E1388F" w:rsidRPr="004179E0">
              <w:rPr>
                <w:rFonts w:eastAsia="Times New Roman"/>
                <w:b/>
                <w:bCs/>
                <w:color w:val="000000"/>
                <w:lang w:eastAsia="es-MX"/>
              </w:rPr>
              <w:t>:</w:t>
            </w:r>
            <w:r w:rsidR="00BF25EA" w:rsidRPr="004179E0">
              <w:rPr>
                <w:rFonts w:eastAsia="Times New Roman"/>
                <w:b/>
                <w:bCs/>
                <w:color w:val="000000"/>
                <w:lang w:eastAsia="es-MX"/>
              </w:rPr>
              <w:t xml:space="preserve"> </w:t>
            </w:r>
            <w:r w:rsidRPr="004179E0">
              <w:rPr>
                <w:rFonts w:eastAsia="Times New Roman"/>
                <w:b/>
                <w:bCs/>
                <w:color w:val="000000"/>
                <w:lang w:eastAsia="es-MX"/>
              </w:rPr>
              <w:t>señalar los</w:t>
            </w:r>
            <w:r w:rsidR="00BF25EA" w:rsidRPr="004179E0">
              <w:rPr>
                <w:rFonts w:eastAsia="Times New Roman"/>
                <w:b/>
                <w:bCs/>
                <w:color w:val="000000"/>
                <w:lang w:eastAsia="es-MX"/>
              </w:rPr>
              <w:t xml:space="preserve"> factores que otorgan una ventaja al programa para seguir operando.</w:t>
            </w:r>
          </w:p>
          <w:p w14:paraId="75F3DEE0" w14:textId="77777777" w:rsidR="00C7196F" w:rsidRPr="00C7196F" w:rsidRDefault="00C7196F" w:rsidP="004179E0">
            <w:pPr>
              <w:jc w:val="both"/>
              <w:rPr>
                <w:rFonts w:eastAsia="Times New Roman"/>
                <w:lang w:eastAsia="es-MX"/>
              </w:rPr>
            </w:pPr>
          </w:p>
          <w:p w14:paraId="27BA2333" w14:textId="77777777" w:rsidR="00C7196F" w:rsidRDefault="00C2167D" w:rsidP="004179E0">
            <w:pPr>
              <w:pStyle w:val="Prrafodelista"/>
              <w:numPr>
                <w:ilvl w:val="0"/>
                <w:numId w:val="32"/>
              </w:numPr>
              <w:jc w:val="both"/>
              <w:rPr>
                <w:rFonts w:eastAsia="Times New Roman"/>
                <w:lang w:eastAsia="es-MX"/>
              </w:rPr>
            </w:pPr>
            <w:r>
              <w:rPr>
                <w:rFonts w:eastAsia="Times New Roman"/>
                <w:lang w:eastAsia="es-MX"/>
              </w:rPr>
              <w:t>Cue</w:t>
            </w:r>
            <w:r w:rsidR="00250CB1">
              <w:rPr>
                <w:rFonts w:eastAsia="Times New Roman"/>
                <w:lang w:eastAsia="es-MX"/>
              </w:rPr>
              <w:t>n</w:t>
            </w:r>
            <w:r>
              <w:rPr>
                <w:rFonts w:eastAsia="Times New Roman"/>
                <w:lang w:eastAsia="es-MX"/>
              </w:rPr>
              <w:t xml:space="preserve">ta con un árbol de problemas, árbol de objetivos y Matriz de indicadores para los resultados a nivel federal. </w:t>
            </w:r>
          </w:p>
          <w:p w14:paraId="2AE51DB1" w14:textId="77777777" w:rsidR="00C2167D" w:rsidRDefault="002E4904" w:rsidP="004179E0">
            <w:pPr>
              <w:pStyle w:val="Prrafodelista"/>
              <w:numPr>
                <w:ilvl w:val="0"/>
                <w:numId w:val="32"/>
              </w:numPr>
              <w:jc w:val="both"/>
              <w:rPr>
                <w:rFonts w:eastAsia="Times New Roman"/>
                <w:lang w:eastAsia="es-MX"/>
              </w:rPr>
            </w:pPr>
            <w:r>
              <w:rPr>
                <w:rFonts w:eastAsia="Times New Roman"/>
                <w:lang w:eastAsia="es-MX"/>
              </w:rPr>
              <w:t>Además,</w:t>
            </w:r>
            <w:r w:rsidR="00C2167D">
              <w:rPr>
                <w:rFonts w:eastAsia="Times New Roman"/>
                <w:lang w:eastAsia="es-MX"/>
              </w:rPr>
              <w:t xml:space="preserve"> se </w:t>
            </w:r>
            <w:r>
              <w:rPr>
                <w:rFonts w:eastAsia="Times New Roman"/>
                <w:lang w:eastAsia="es-MX"/>
              </w:rPr>
              <w:t>idéntico</w:t>
            </w:r>
            <w:r w:rsidR="00C2167D">
              <w:rPr>
                <w:rFonts w:eastAsia="Times New Roman"/>
                <w:lang w:eastAsia="es-MX"/>
              </w:rPr>
              <w:t xml:space="preserve"> que el 100% de los proyectos presentaron avance financiero en tiempo y forma en el SFU.</w:t>
            </w:r>
          </w:p>
          <w:p w14:paraId="32B0D1B0" w14:textId="79555A9C" w:rsidR="00C2167D" w:rsidRDefault="002E4904" w:rsidP="004179E0">
            <w:pPr>
              <w:pStyle w:val="Prrafodelista"/>
              <w:numPr>
                <w:ilvl w:val="0"/>
                <w:numId w:val="32"/>
              </w:numPr>
              <w:jc w:val="both"/>
              <w:rPr>
                <w:rFonts w:eastAsia="Times New Roman"/>
                <w:lang w:eastAsia="es-MX"/>
              </w:rPr>
            </w:pPr>
            <w:r>
              <w:rPr>
                <w:rFonts w:eastAsia="Times New Roman"/>
                <w:lang w:eastAsia="es-MX"/>
              </w:rPr>
              <w:lastRenderedPageBreak/>
              <w:t>Asimismo, se ha observado que en el periodo 2013-201</w:t>
            </w:r>
            <w:r w:rsidR="008975B1">
              <w:rPr>
                <w:rFonts w:eastAsia="Times New Roman"/>
                <w:lang w:eastAsia="es-MX"/>
              </w:rPr>
              <w:t>8</w:t>
            </w:r>
            <w:r>
              <w:rPr>
                <w:rFonts w:eastAsia="Times New Roman"/>
                <w:lang w:eastAsia="es-MX"/>
              </w:rPr>
              <w:t xml:space="preserve">, el Fondo ha ejercido la totalidad de sus recursos ministrados. </w:t>
            </w:r>
          </w:p>
          <w:p w14:paraId="4469243B" w14:textId="77777777" w:rsidR="002E4904" w:rsidRPr="00C2167D" w:rsidRDefault="002E4904" w:rsidP="004179E0">
            <w:pPr>
              <w:pStyle w:val="Prrafodelista"/>
              <w:numPr>
                <w:ilvl w:val="0"/>
                <w:numId w:val="32"/>
              </w:numPr>
              <w:jc w:val="both"/>
              <w:rPr>
                <w:rFonts w:eastAsia="Times New Roman"/>
                <w:lang w:eastAsia="es-MX"/>
              </w:rPr>
            </w:pPr>
            <w:r>
              <w:rPr>
                <w:rFonts w:eastAsia="Times New Roman"/>
                <w:lang w:eastAsia="es-MX"/>
              </w:rPr>
              <w:t xml:space="preserve">Que las entidades federativas impulsen el establecimiento de reglas o lineamientos para que en el ámbito de su competencia se fijen criterios de distribución en el que se considere las limitaciones y oportunidades para la promoción de la igualdad entre los sexos y la mejora de las condiciones de los indígenas y grupos vulnerables. </w:t>
            </w:r>
          </w:p>
          <w:p w14:paraId="109FB65D" w14:textId="77777777" w:rsidR="00C7196F" w:rsidRPr="00C7196F" w:rsidRDefault="00C7196F" w:rsidP="004179E0">
            <w:pPr>
              <w:jc w:val="both"/>
              <w:rPr>
                <w:rFonts w:eastAsia="Times New Roman"/>
                <w:lang w:eastAsia="es-MX"/>
              </w:rPr>
            </w:pPr>
          </w:p>
          <w:p w14:paraId="5A23D9D6" w14:textId="77777777" w:rsidR="00C7196F" w:rsidRPr="00C7196F" w:rsidRDefault="00C7196F" w:rsidP="004179E0">
            <w:pPr>
              <w:jc w:val="both"/>
              <w:rPr>
                <w:rFonts w:eastAsia="Times New Roman"/>
                <w:lang w:eastAsia="es-MX"/>
              </w:rPr>
            </w:pPr>
          </w:p>
          <w:p w14:paraId="2C68CE98" w14:textId="77777777" w:rsidR="00C7196F" w:rsidRPr="00C7196F" w:rsidRDefault="00C7196F" w:rsidP="004179E0">
            <w:pPr>
              <w:jc w:val="both"/>
              <w:rPr>
                <w:rFonts w:eastAsia="Times New Roman"/>
                <w:lang w:eastAsia="es-MX"/>
              </w:rPr>
            </w:pPr>
          </w:p>
          <w:p w14:paraId="4BCA6D9E" w14:textId="77777777" w:rsidR="00C7196F" w:rsidRDefault="00C7196F" w:rsidP="004179E0">
            <w:pPr>
              <w:jc w:val="both"/>
              <w:rPr>
                <w:rFonts w:eastAsia="Times New Roman"/>
                <w:color w:val="000000"/>
                <w:lang w:eastAsia="es-MX"/>
              </w:rPr>
            </w:pPr>
          </w:p>
          <w:p w14:paraId="2FDC1C6B" w14:textId="77777777" w:rsidR="00C7196F" w:rsidRDefault="00C7196F" w:rsidP="004179E0">
            <w:pPr>
              <w:jc w:val="both"/>
              <w:rPr>
                <w:rFonts w:eastAsia="Times New Roman"/>
                <w:color w:val="000000"/>
                <w:lang w:eastAsia="es-MX"/>
              </w:rPr>
            </w:pPr>
          </w:p>
          <w:p w14:paraId="2A3AFC6E" w14:textId="77777777" w:rsidR="00C7196F" w:rsidRPr="00C7196F" w:rsidRDefault="00C7196F" w:rsidP="004179E0">
            <w:pPr>
              <w:jc w:val="both"/>
              <w:rPr>
                <w:rFonts w:eastAsia="Times New Roman"/>
                <w:lang w:eastAsia="es-MX"/>
              </w:rPr>
            </w:pPr>
          </w:p>
        </w:tc>
      </w:tr>
      <w:tr w:rsidR="00690BCC" w:rsidRPr="00E1388F" w14:paraId="4DE94540" w14:textId="77777777" w:rsidTr="00802994">
        <w:trPr>
          <w:trHeight w:val="555"/>
          <w:tblCellSpacing w:w="20" w:type="dxa"/>
        </w:trPr>
        <w:tc>
          <w:tcPr>
            <w:tcW w:w="5060" w:type="dxa"/>
            <w:vMerge/>
            <w:vAlign w:val="center"/>
            <w:hideMark/>
          </w:tcPr>
          <w:p w14:paraId="04BC8A74" w14:textId="77777777" w:rsidR="00E1388F" w:rsidRPr="00E1388F" w:rsidRDefault="00E1388F" w:rsidP="00E1388F">
            <w:pPr>
              <w:spacing w:after="0" w:line="240" w:lineRule="auto"/>
              <w:rPr>
                <w:rFonts w:eastAsia="Times New Roman"/>
                <w:color w:val="000000"/>
                <w:lang w:eastAsia="es-MX"/>
              </w:rPr>
            </w:pPr>
          </w:p>
        </w:tc>
        <w:tc>
          <w:tcPr>
            <w:tcW w:w="5417" w:type="dxa"/>
            <w:vMerge/>
            <w:vAlign w:val="center"/>
            <w:hideMark/>
          </w:tcPr>
          <w:p w14:paraId="501843AE" w14:textId="77777777" w:rsidR="00E1388F" w:rsidRPr="00E1388F" w:rsidRDefault="00E1388F" w:rsidP="00E1388F">
            <w:pPr>
              <w:spacing w:after="0" w:line="240" w:lineRule="auto"/>
              <w:rPr>
                <w:rFonts w:eastAsia="Times New Roman"/>
                <w:color w:val="000000"/>
                <w:lang w:eastAsia="es-MX"/>
              </w:rPr>
            </w:pPr>
          </w:p>
        </w:tc>
      </w:tr>
      <w:tr w:rsidR="00690BCC" w:rsidRPr="00E1388F" w14:paraId="0061BB1A" w14:textId="77777777" w:rsidTr="00802994">
        <w:trPr>
          <w:trHeight w:val="555"/>
          <w:tblCellSpacing w:w="20" w:type="dxa"/>
        </w:trPr>
        <w:tc>
          <w:tcPr>
            <w:tcW w:w="5060" w:type="dxa"/>
            <w:vMerge/>
            <w:vAlign w:val="center"/>
            <w:hideMark/>
          </w:tcPr>
          <w:p w14:paraId="09127654" w14:textId="77777777" w:rsidR="00E1388F" w:rsidRPr="00E1388F" w:rsidRDefault="00E1388F" w:rsidP="00E1388F">
            <w:pPr>
              <w:spacing w:after="0" w:line="240" w:lineRule="auto"/>
              <w:rPr>
                <w:rFonts w:eastAsia="Times New Roman"/>
                <w:color w:val="000000"/>
                <w:lang w:eastAsia="es-MX"/>
              </w:rPr>
            </w:pPr>
          </w:p>
        </w:tc>
        <w:tc>
          <w:tcPr>
            <w:tcW w:w="5417" w:type="dxa"/>
            <w:vMerge/>
            <w:vAlign w:val="center"/>
            <w:hideMark/>
          </w:tcPr>
          <w:p w14:paraId="24523255" w14:textId="77777777" w:rsidR="00E1388F" w:rsidRPr="00E1388F" w:rsidRDefault="00E1388F" w:rsidP="00E1388F">
            <w:pPr>
              <w:spacing w:after="0" w:line="240" w:lineRule="auto"/>
              <w:rPr>
                <w:rFonts w:eastAsia="Times New Roman"/>
                <w:color w:val="000000"/>
                <w:lang w:eastAsia="es-MX"/>
              </w:rPr>
            </w:pPr>
          </w:p>
        </w:tc>
      </w:tr>
      <w:tr w:rsidR="00690BCC" w:rsidRPr="00E1388F" w14:paraId="52A95920" w14:textId="77777777" w:rsidTr="00802994">
        <w:trPr>
          <w:trHeight w:val="555"/>
          <w:tblCellSpacing w:w="20" w:type="dxa"/>
        </w:trPr>
        <w:tc>
          <w:tcPr>
            <w:tcW w:w="5060" w:type="dxa"/>
            <w:vMerge w:val="restart"/>
            <w:shd w:val="clear" w:color="000000" w:fill="FFFFFF"/>
            <w:noWrap/>
            <w:hideMark/>
          </w:tcPr>
          <w:p w14:paraId="40538E37" w14:textId="77777777" w:rsidR="00E1388F" w:rsidRPr="00802994" w:rsidRDefault="00E1388F" w:rsidP="004179E0">
            <w:pPr>
              <w:spacing w:after="0" w:line="240" w:lineRule="auto"/>
              <w:jc w:val="both"/>
              <w:rPr>
                <w:rFonts w:eastAsia="Times New Roman"/>
                <w:b/>
                <w:bCs/>
                <w:color w:val="000000"/>
                <w:lang w:eastAsia="es-MX"/>
              </w:rPr>
            </w:pPr>
            <w:r w:rsidRPr="00802994">
              <w:rPr>
                <w:rFonts w:eastAsia="Times New Roman"/>
                <w:b/>
                <w:bCs/>
                <w:color w:val="000000"/>
                <w:lang w:eastAsia="es-MX"/>
              </w:rPr>
              <w:lastRenderedPageBreak/>
              <w:t>2.2.3 Debilidades:</w:t>
            </w:r>
            <w:r w:rsidR="00BF25EA" w:rsidRPr="00802994">
              <w:rPr>
                <w:rFonts w:eastAsia="Times New Roman"/>
                <w:b/>
                <w:bCs/>
                <w:color w:val="000000"/>
                <w:lang w:eastAsia="es-MX"/>
              </w:rPr>
              <w:t xml:space="preserve"> Señalar los factores internos que limitan las posibilidades del buen funcionamiento del programa.</w:t>
            </w:r>
          </w:p>
          <w:p w14:paraId="6083AF8B" w14:textId="77777777" w:rsidR="00CB072B" w:rsidRDefault="00CB072B" w:rsidP="004179E0">
            <w:pPr>
              <w:pStyle w:val="Prrafodelista"/>
              <w:numPr>
                <w:ilvl w:val="0"/>
                <w:numId w:val="30"/>
              </w:numPr>
              <w:spacing w:after="0" w:line="240" w:lineRule="auto"/>
              <w:jc w:val="both"/>
              <w:rPr>
                <w:rFonts w:eastAsia="Times New Roman"/>
                <w:color w:val="000000"/>
                <w:lang w:eastAsia="es-MX"/>
              </w:rPr>
            </w:pPr>
            <w:r>
              <w:rPr>
                <w:rFonts w:eastAsia="Times New Roman"/>
                <w:color w:val="000000"/>
                <w:lang w:eastAsia="es-MX"/>
              </w:rPr>
              <w:t xml:space="preserve">No existe un método </w:t>
            </w:r>
            <w:r w:rsidR="00370D9A">
              <w:rPr>
                <w:rFonts w:eastAsia="Times New Roman"/>
                <w:color w:val="000000"/>
                <w:lang w:eastAsia="es-MX"/>
              </w:rPr>
              <w:t>claro o sistemático para la priorización de necesidades. Tampoco fue posible identificar criterios consensuados respecto a lo que constituye una necesidad insatisfecha factible de atención. Esto puede permitir que se asignen discrecionalmente los recursos independientemente de los objetivos normativos del Fondo.</w:t>
            </w:r>
          </w:p>
          <w:p w14:paraId="36F24E60" w14:textId="77777777" w:rsidR="00370D9A" w:rsidRDefault="00370D9A" w:rsidP="004179E0">
            <w:pPr>
              <w:pStyle w:val="Prrafodelista"/>
              <w:numPr>
                <w:ilvl w:val="0"/>
                <w:numId w:val="30"/>
              </w:numPr>
              <w:spacing w:after="0" w:line="240" w:lineRule="auto"/>
              <w:jc w:val="both"/>
              <w:rPr>
                <w:rFonts w:eastAsia="Times New Roman"/>
                <w:color w:val="000000"/>
                <w:lang w:eastAsia="es-MX"/>
              </w:rPr>
            </w:pPr>
            <w:r>
              <w:rPr>
                <w:rFonts w:eastAsia="Times New Roman"/>
                <w:color w:val="000000"/>
                <w:lang w:eastAsia="es-MX"/>
              </w:rPr>
              <w:t xml:space="preserve">Débil coordinación del área administrativa con las operativas para la liberación del recurso destinado a los programas sustantivos. </w:t>
            </w:r>
          </w:p>
          <w:p w14:paraId="08B57B6A" w14:textId="77777777" w:rsidR="00370D9A" w:rsidRDefault="00370D9A" w:rsidP="004179E0">
            <w:pPr>
              <w:pStyle w:val="Prrafodelista"/>
              <w:numPr>
                <w:ilvl w:val="0"/>
                <w:numId w:val="30"/>
              </w:numPr>
              <w:spacing w:after="0" w:line="240" w:lineRule="auto"/>
              <w:jc w:val="both"/>
              <w:rPr>
                <w:rFonts w:eastAsia="Times New Roman"/>
                <w:color w:val="000000"/>
                <w:lang w:eastAsia="es-MX"/>
              </w:rPr>
            </w:pPr>
            <w:r>
              <w:rPr>
                <w:rFonts w:eastAsia="Times New Roman"/>
                <w:color w:val="000000"/>
                <w:lang w:eastAsia="es-MX"/>
              </w:rPr>
              <w:t xml:space="preserve">Falta de método eficaz para calcular la cobertura estatal de los programas de atención de salud. </w:t>
            </w:r>
          </w:p>
          <w:p w14:paraId="354C5060" w14:textId="77777777" w:rsidR="00370D9A" w:rsidRDefault="00370D9A" w:rsidP="004179E0">
            <w:pPr>
              <w:pStyle w:val="Prrafodelista"/>
              <w:numPr>
                <w:ilvl w:val="0"/>
                <w:numId w:val="30"/>
              </w:numPr>
              <w:spacing w:after="0" w:line="240" w:lineRule="auto"/>
              <w:jc w:val="both"/>
              <w:rPr>
                <w:rFonts w:eastAsia="Times New Roman"/>
                <w:color w:val="000000"/>
                <w:lang w:eastAsia="es-MX"/>
              </w:rPr>
            </w:pPr>
            <w:r>
              <w:rPr>
                <w:rFonts w:eastAsia="Times New Roman"/>
                <w:color w:val="000000"/>
                <w:lang w:eastAsia="es-MX"/>
              </w:rPr>
              <w:t xml:space="preserve"> La </w:t>
            </w:r>
            <w:r w:rsidR="009C1D99">
              <w:rPr>
                <w:rFonts w:eastAsia="Times New Roman"/>
                <w:color w:val="000000"/>
                <w:lang w:eastAsia="es-MX"/>
              </w:rPr>
              <w:t>fuente</w:t>
            </w:r>
            <w:r>
              <w:rPr>
                <w:rFonts w:eastAsia="Times New Roman"/>
                <w:color w:val="000000"/>
                <w:lang w:eastAsia="es-MX"/>
              </w:rPr>
              <w:t xml:space="preserve"> de datos utilizada para calcular la cobertura de años anteriores no se considera la adecuada. </w:t>
            </w:r>
          </w:p>
          <w:p w14:paraId="4BB43590" w14:textId="77777777" w:rsidR="009C1D99" w:rsidRDefault="009C1D99" w:rsidP="004179E0">
            <w:pPr>
              <w:pStyle w:val="Prrafodelista"/>
              <w:numPr>
                <w:ilvl w:val="0"/>
                <w:numId w:val="30"/>
              </w:numPr>
              <w:spacing w:after="0" w:line="240" w:lineRule="auto"/>
              <w:jc w:val="both"/>
              <w:rPr>
                <w:rFonts w:eastAsia="Times New Roman"/>
                <w:color w:val="000000"/>
                <w:lang w:eastAsia="es-MX"/>
              </w:rPr>
            </w:pPr>
            <w:r>
              <w:rPr>
                <w:rFonts w:eastAsia="Times New Roman"/>
                <w:color w:val="000000"/>
                <w:lang w:eastAsia="es-MX"/>
              </w:rPr>
              <w:t xml:space="preserve">Débil coordinación de las instancias federales y estatales para definir en conjunto </w:t>
            </w:r>
            <w:r>
              <w:rPr>
                <w:rFonts w:eastAsia="Times New Roman"/>
                <w:color w:val="000000"/>
                <w:lang w:eastAsia="es-MX"/>
              </w:rPr>
              <w:lastRenderedPageBreak/>
              <w:t xml:space="preserve">los criterios de cobertura de los programas de atención a la salud en las entidades. </w:t>
            </w:r>
          </w:p>
          <w:p w14:paraId="5B77A21D" w14:textId="77777777" w:rsidR="009C1D99" w:rsidRDefault="009C1D99" w:rsidP="004179E0">
            <w:pPr>
              <w:pStyle w:val="Prrafodelista"/>
              <w:numPr>
                <w:ilvl w:val="0"/>
                <w:numId w:val="30"/>
              </w:numPr>
              <w:spacing w:after="0" w:line="240" w:lineRule="auto"/>
              <w:jc w:val="both"/>
              <w:rPr>
                <w:rFonts w:eastAsia="Times New Roman"/>
                <w:color w:val="000000"/>
                <w:lang w:eastAsia="es-MX"/>
              </w:rPr>
            </w:pPr>
            <w:r>
              <w:rPr>
                <w:rFonts w:eastAsia="Times New Roman"/>
                <w:color w:val="000000"/>
                <w:lang w:eastAsia="es-MX"/>
              </w:rPr>
              <w:t xml:space="preserve">Desconocimiento de los métodos para definir la cobertura de los programas que reciben recursos del fondo. </w:t>
            </w:r>
          </w:p>
          <w:p w14:paraId="17931358" w14:textId="77777777" w:rsidR="009C1D99" w:rsidRDefault="009C1D99" w:rsidP="004179E0">
            <w:pPr>
              <w:pStyle w:val="Prrafodelista"/>
              <w:numPr>
                <w:ilvl w:val="0"/>
                <w:numId w:val="30"/>
              </w:numPr>
              <w:spacing w:after="0" w:line="240" w:lineRule="auto"/>
              <w:jc w:val="both"/>
              <w:rPr>
                <w:rFonts w:eastAsia="Times New Roman"/>
                <w:color w:val="000000"/>
                <w:lang w:eastAsia="es-MX"/>
              </w:rPr>
            </w:pPr>
            <w:r>
              <w:rPr>
                <w:rFonts w:eastAsia="Times New Roman"/>
                <w:color w:val="000000"/>
                <w:lang w:eastAsia="es-MX"/>
              </w:rPr>
              <w:t xml:space="preserve">Los medios de verificación y las fuentes de información no cuentan con las características necesarias de transparencia, es decir, carecen de una dirección electrónica o la dirección física en donde se encuentran la fuente de información y el medio de verificación. </w:t>
            </w:r>
          </w:p>
          <w:p w14:paraId="0059E486" w14:textId="40C1FCC8" w:rsidR="00C2167D" w:rsidRPr="00CB072B" w:rsidRDefault="00C2167D" w:rsidP="004179E0">
            <w:pPr>
              <w:pStyle w:val="Prrafodelista"/>
              <w:numPr>
                <w:ilvl w:val="0"/>
                <w:numId w:val="30"/>
              </w:numPr>
              <w:spacing w:after="0" w:line="240" w:lineRule="auto"/>
              <w:jc w:val="both"/>
              <w:rPr>
                <w:rFonts w:eastAsia="Times New Roman"/>
                <w:color w:val="000000"/>
                <w:lang w:eastAsia="es-MX"/>
              </w:rPr>
            </w:pPr>
            <w:r>
              <w:rPr>
                <w:rFonts w:eastAsia="Times New Roman"/>
                <w:color w:val="000000"/>
                <w:lang w:eastAsia="es-MX"/>
              </w:rPr>
              <w:t xml:space="preserve">La revisión de las evidencias proporcionadas por la dependencia responsable y las publicadas por la Federación dio como resultado una falta de congruencia en la MIR, dado que el Fondo está enfocado a disminuir la razón de mortalidad materna, el cual no guarda relación con </w:t>
            </w:r>
            <w:r w:rsidR="008975B1">
              <w:rPr>
                <w:rFonts w:eastAsia="Times New Roman"/>
                <w:color w:val="000000"/>
                <w:lang w:eastAsia="es-MX"/>
              </w:rPr>
              <w:t>el</w:t>
            </w:r>
            <w:r>
              <w:rPr>
                <w:rFonts w:eastAsia="Times New Roman"/>
                <w:color w:val="000000"/>
                <w:lang w:eastAsia="es-MX"/>
              </w:rPr>
              <w:t xml:space="preserve"> problema identificado para el Fondo. </w:t>
            </w:r>
          </w:p>
        </w:tc>
        <w:tc>
          <w:tcPr>
            <w:tcW w:w="5417" w:type="dxa"/>
            <w:vMerge w:val="restart"/>
            <w:shd w:val="clear" w:color="000000" w:fill="FFFFFF"/>
            <w:noWrap/>
            <w:hideMark/>
          </w:tcPr>
          <w:p w14:paraId="13A09C15" w14:textId="77777777" w:rsidR="00E1388F" w:rsidRPr="00802994" w:rsidRDefault="00E1388F" w:rsidP="004179E0">
            <w:pPr>
              <w:spacing w:after="0" w:line="240" w:lineRule="auto"/>
              <w:jc w:val="both"/>
              <w:rPr>
                <w:rFonts w:eastAsia="Times New Roman"/>
                <w:b/>
                <w:bCs/>
                <w:color w:val="000000"/>
                <w:lang w:eastAsia="es-MX"/>
              </w:rPr>
            </w:pPr>
            <w:r w:rsidRPr="00802994">
              <w:rPr>
                <w:rFonts w:eastAsia="Times New Roman"/>
                <w:b/>
                <w:bCs/>
                <w:color w:val="000000"/>
                <w:lang w:eastAsia="es-MX"/>
              </w:rPr>
              <w:lastRenderedPageBreak/>
              <w:t>2.2.4 Amenazas:</w:t>
            </w:r>
            <w:r w:rsidR="00BF25EA" w:rsidRPr="00802994">
              <w:rPr>
                <w:rFonts w:eastAsia="Times New Roman"/>
                <w:b/>
                <w:bCs/>
                <w:color w:val="000000"/>
                <w:lang w:eastAsia="es-MX"/>
              </w:rPr>
              <w:t xml:space="preserve"> Señalar los factores que puedan dificultar a la dependencia alcanzar los objetivos del programa.</w:t>
            </w:r>
          </w:p>
          <w:p w14:paraId="13909C56" w14:textId="77777777" w:rsidR="006451A5" w:rsidRDefault="006451A5" w:rsidP="004179E0">
            <w:pPr>
              <w:spacing w:after="0" w:line="240" w:lineRule="auto"/>
              <w:jc w:val="both"/>
              <w:rPr>
                <w:rFonts w:eastAsia="Times New Roman"/>
                <w:color w:val="000000"/>
                <w:lang w:eastAsia="es-MX"/>
              </w:rPr>
            </w:pPr>
          </w:p>
          <w:p w14:paraId="2DCA54C2" w14:textId="77777777" w:rsidR="006451A5" w:rsidRDefault="006451A5" w:rsidP="004179E0">
            <w:pPr>
              <w:pStyle w:val="Prrafodelista"/>
              <w:numPr>
                <w:ilvl w:val="0"/>
                <w:numId w:val="30"/>
              </w:numPr>
              <w:spacing w:after="0" w:line="240" w:lineRule="auto"/>
              <w:jc w:val="both"/>
              <w:rPr>
                <w:rFonts w:eastAsia="Times New Roman"/>
                <w:color w:val="000000"/>
                <w:lang w:eastAsia="es-MX"/>
              </w:rPr>
            </w:pPr>
            <w:r w:rsidRPr="006451A5">
              <w:rPr>
                <w:rFonts w:eastAsia="Times New Roman"/>
                <w:color w:val="000000"/>
                <w:lang w:eastAsia="es-MX"/>
              </w:rPr>
              <w:t xml:space="preserve">Limitada coordinación de las instancias federales y estatales para establecer mecanismos eficaces de asignación de recursos y por consecuente el ejercicio del recurso del tiempo. </w:t>
            </w:r>
          </w:p>
          <w:p w14:paraId="46226761" w14:textId="77777777" w:rsidR="006451A5" w:rsidRDefault="006451A5" w:rsidP="004179E0">
            <w:pPr>
              <w:pStyle w:val="Prrafodelista"/>
              <w:numPr>
                <w:ilvl w:val="0"/>
                <w:numId w:val="30"/>
              </w:numPr>
              <w:spacing w:after="0" w:line="240" w:lineRule="auto"/>
              <w:jc w:val="both"/>
              <w:rPr>
                <w:rFonts w:eastAsia="Times New Roman"/>
                <w:color w:val="000000"/>
                <w:lang w:eastAsia="es-MX"/>
              </w:rPr>
            </w:pPr>
            <w:r w:rsidRPr="006451A5">
              <w:rPr>
                <w:rFonts w:eastAsia="Times New Roman"/>
                <w:color w:val="000000"/>
                <w:lang w:eastAsia="es-MX"/>
              </w:rPr>
              <w:t>Recortes financieros destinados a los fondos y/o recursos, de acuerdo a políticas públicas nacionales.</w:t>
            </w:r>
          </w:p>
          <w:p w14:paraId="30E4DC8A" w14:textId="77777777" w:rsidR="006451A5" w:rsidRDefault="006451A5" w:rsidP="004179E0">
            <w:pPr>
              <w:pStyle w:val="Prrafodelista"/>
              <w:numPr>
                <w:ilvl w:val="0"/>
                <w:numId w:val="30"/>
              </w:numPr>
              <w:spacing w:after="0" w:line="240" w:lineRule="auto"/>
              <w:jc w:val="both"/>
              <w:rPr>
                <w:rFonts w:eastAsia="Times New Roman"/>
                <w:color w:val="000000"/>
                <w:lang w:eastAsia="es-MX"/>
              </w:rPr>
            </w:pPr>
            <w:r>
              <w:rPr>
                <w:rFonts w:eastAsia="Times New Roman"/>
                <w:color w:val="000000"/>
                <w:lang w:eastAsia="es-MX"/>
              </w:rPr>
              <w:t xml:space="preserve">La matriz de indicadores del fondo, no integra temas que se deberían de considerar en atención al objetivo que busca alcanzar FASSA. </w:t>
            </w:r>
          </w:p>
          <w:p w14:paraId="56ED6DFA" w14:textId="7045D28F" w:rsidR="006451A5" w:rsidRDefault="006451A5" w:rsidP="004179E0">
            <w:pPr>
              <w:pStyle w:val="Prrafodelista"/>
              <w:numPr>
                <w:ilvl w:val="0"/>
                <w:numId w:val="30"/>
              </w:numPr>
              <w:spacing w:after="0" w:line="240" w:lineRule="auto"/>
              <w:jc w:val="both"/>
              <w:rPr>
                <w:rFonts w:eastAsia="Times New Roman"/>
                <w:color w:val="000000"/>
                <w:lang w:eastAsia="es-MX"/>
              </w:rPr>
            </w:pPr>
            <w:r>
              <w:rPr>
                <w:rFonts w:eastAsia="Times New Roman"/>
                <w:color w:val="000000"/>
                <w:lang w:eastAsia="es-MX"/>
              </w:rPr>
              <w:t xml:space="preserve">Los recursos del FASSA se distribuyen en todos los conceptos de gasto para atender las necesidades de las cuatro </w:t>
            </w:r>
            <w:r w:rsidR="008975B1">
              <w:rPr>
                <w:rFonts w:eastAsia="Times New Roman"/>
                <w:color w:val="000000"/>
                <w:lang w:eastAsia="es-MX"/>
              </w:rPr>
              <w:t>subfunciones</w:t>
            </w:r>
            <w:r>
              <w:rPr>
                <w:rFonts w:eastAsia="Times New Roman"/>
                <w:color w:val="000000"/>
                <w:lang w:eastAsia="es-MX"/>
              </w:rPr>
              <w:t xml:space="preserve"> de salud pese a concentrarse mayoritariamente en el financiamiento de servicios personales. Como consecuencia, los recursos se encuentran dispersos y ello dificulta el control sobre los recursos. </w:t>
            </w:r>
          </w:p>
          <w:p w14:paraId="6DA0F379" w14:textId="77777777" w:rsidR="006451A5" w:rsidRPr="006451A5" w:rsidRDefault="006451A5" w:rsidP="004179E0">
            <w:pPr>
              <w:pStyle w:val="Prrafodelista"/>
              <w:spacing w:after="0" w:line="240" w:lineRule="auto"/>
              <w:jc w:val="both"/>
              <w:rPr>
                <w:rFonts w:eastAsia="Times New Roman"/>
                <w:color w:val="000000"/>
                <w:lang w:eastAsia="es-MX"/>
              </w:rPr>
            </w:pPr>
          </w:p>
        </w:tc>
      </w:tr>
      <w:tr w:rsidR="00690BCC" w:rsidRPr="00E1388F" w14:paraId="12EAAFE7" w14:textId="77777777" w:rsidTr="00802994">
        <w:trPr>
          <w:trHeight w:val="555"/>
          <w:tblCellSpacing w:w="20" w:type="dxa"/>
        </w:trPr>
        <w:tc>
          <w:tcPr>
            <w:tcW w:w="5060" w:type="dxa"/>
            <w:vMerge/>
            <w:vAlign w:val="center"/>
            <w:hideMark/>
          </w:tcPr>
          <w:p w14:paraId="45CCF751" w14:textId="77777777" w:rsidR="00E1388F" w:rsidRPr="00E1388F" w:rsidRDefault="00E1388F" w:rsidP="00E1388F">
            <w:pPr>
              <w:spacing w:after="0" w:line="240" w:lineRule="auto"/>
              <w:rPr>
                <w:rFonts w:eastAsia="Times New Roman"/>
                <w:color w:val="000000"/>
                <w:lang w:eastAsia="es-MX"/>
              </w:rPr>
            </w:pPr>
          </w:p>
        </w:tc>
        <w:tc>
          <w:tcPr>
            <w:tcW w:w="5417" w:type="dxa"/>
            <w:vMerge/>
            <w:vAlign w:val="center"/>
            <w:hideMark/>
          </w:tcPr>
          <w:p w14:paraId="6338BE55" w14:textId="77777777" w:rsidR="00E1388F" w:rsidRPr="00E1388F" w:rsidRDefault="00E1388F" w:rsidP="00E1388F">
            <w:pPr>
              <w:spacing w:after="0" w:line="240" w:lineRule="auto"/>
              <w:rPr>
                <w:rFonts w:eastAsia="Times New Roman"/>
                <w:color w:val="000000"/>
                <w:lang w:eastAsia="es-MX"/>
              </w:rPr>
            </w:pPr>
          </w:p>
        </w:tc>
      </w:tr>
      <w:tr w:rsidR="00690BCC" w:rsidRPr="00E1388F" w14:paraId="172A3F1B" w14:textId="77777777" w:rsidTr="00802994">
        <w:trPr>
          <w:trHeight w:val="555"/>
          <w:tblCellSpacing w:w="20" w:type="dxa"/>
        </w:trPr>
        <w:tc>
          <w:tcPr>
            <w:tcW w:w="5060" w:type="dxa"/>
            <w:vMerge/>
            <w:vAlign w:val="center"/>
            <w:hideMark/>
          </w:tcPr>
          <w:p w14:paraId="506AEF68" w14:textId="77777777" w:rsidR="00E1388F" w:rsidRPr="00E1388F" w:rsidRDefault="00E1388F" w:rsidP="00E1388F">
            <w:pPr>
              <w:spacing w:after="0" w:line="240" w:lineRule="auto"/>
              <w:rPr>
                <w:rFonts w:eastAsia="Times New Roman"/>
                <w:color w:val="000000"/>
                <w:lang w:eastAsia="es-MX"/>
              </w:rPr>
            </w:pPr>
          </w:p>
        </w:tc>
        <w:tc>
          <w:tcPr>
            <w:tcW w:w="5417" w:type="dxa"/>
            <w:vMerge/>
            <w:vAlign w:val="center"/>
            <w:hideMark/>
          </w:tcPr>
          <w:p w14:paraId="316F555B" w14:textId="77777777" w:rsidR="00E1388F" w:rsidRPr="00E1388F" w:rsidRDefault="00E1388F" w:rsidP="00E1388F">
            <w:pPr>
              <w:spacing w:after="0" w:line="240" w:lineRule="auto"/>
              <w:rPr>
                <w:rFonts w:eastAsia="Times New Roman"/>
                <w:color w:val="000000"/>
                <w:lang w:eastAsia="es-MX"/>
              </w:rPr>
            </w:pPr>
          </w:p>
        </w:tc>
      </w:tr>
      <w:tr w:rsidR="00690BCC" w:rsidRPr="00E1388F" w14:paraId="4469FDC1" w14:textId="77777777" w:rsidTr="00802994">
        <w:trPr>
          <w:trHeight w:val="269"/>
          <w:tblCellSpacing w:w="20" w:type="dxa"/>
        </w:trPr>
        <w:tc>
          <w:tcPr>
            <w:tcW w:w="5060" w:type="dxa"/>
            <w:vMerge/>
            <w:vAlign w:val="center"/>
            <w:hideMark/>
          </w:tcPr>
          <w:p w14:paraId="4AC3A761" w14:textId="77777777" w:rsidR="00E1388F" w:rsidRPr="00E1388F" w:rsidRDefault="00E1388F" w:rsidP="00E1388F">
            <w:pPr>
              <w:spacing w:after="0" w:line="240" w:lineRule="auto"/>
              <w:rPr>
                <w:rFonts w:eastAsia="Times New Roman"/>
                <w:color w:val="000000"/>
                <w:lang w:eastAsia="es-MX"/>
              </w:rPr>
            </w:pPr>
          </w:p>
        </w:tc>
        <w:tc>
          <w:tcPr>
            <w:tcW w:w="5417" w:type="dxa"/>
            <w:vMerge/>
            <w:vAlign w:val="center"/>
            <w:hideMark/>
          </w:tcPr>
          <w:p w14:paraId="4EF91366" w14:textId="77777777" w:rsidR="00E1388F" w:rsidRPr="00E1388F" w:rsidRDefault="00E1388F" w:rsidP="00E1388F">
            <w:pPr>
              <w:spacing w:after="0" w:line="240" w:lineRule="auto"/>
              <w:rPr>
                <w:rFonts w:eastAsia="Times New Roman"/>
                <w:color w:val="000000"/>
                <w:lang w:eastAsia="es-MX"/>
              </w:rPr>
            </w:pPr>
          </w:p>
        </w:tc>
      </w:tr>
    </w:tbl>
    <w:p w14:paraId="3138BCD1" w14:textId="77777777" w:rsidR="00EC63B6" w:rsidRDefault="00EC63B6"/>
    <w:tbl>
      <w:tblPr>
        <w:tblW w:w="10353"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383"/>
      </w:tblGrid>
      <w:tr w:rsidR="00690BCC" w:rsidRPr="0099682A" w14:paraId="516E9439" w14:textId="77777777" w:rsidTr="00250CB1">
        <w:trPr>
          <w:trHeight w:val="300"/>
          <w:tblCellSpacing w:w="20" w:type="dxa"/>
        </w:trPr>
        <w:tc>
          <w:tcPr>
            <w:tcW w:w="10273" w:type="dxa"/>
            <w:shd w:val="clear" w:color="000000" w:fill="8B1D31"/>
            <w:noWrap/>
            <w:hideMark/>
          </w:tcPr>
          <w:p w14:paraId="68B06063" w14:textId="77777777" w:rsidR="00E1388F" w:rsidRPr="0099682A" w:rsidRDefault="00E1388F" w:rsidP="00E1388F">
            <w:pPr>
              <w:spacing w:after="0" w:line="240" w:lineRule="auto"/>
              <w:rPr>
                <w:rFonts w:eastAsia="Times New Roman"/>
                <w:b/>
                <w:bCs/>
                <w:color w:val="FFFFFF"/>
                <w:lang w:eastAsia="es-MX"/>
              </w:rPr>
            </w:pPr>
            <w:r w:rsidRPr="0099682A">
              <w:rPr>
                <w:rFonts w:eastAsia="Times New Roman"/>
                <w:b/>
                <w:bCs/>
                <w:color w:val="FFFFFF"/>
                <w:lang w:eastAsia="es-MX"/>
              </w:rPr>
              <w:t>3. Conclusiones y Recomendaciones de la Evaluación</w:t>
            </w:r>
          </w:p>
        </w:tc>
      </w:tr>
      <w:tr w:rsidR="00690BCC" w:rsidRPr="00E1388F" w14:paraId="62A253C4" w14:textId="77777777" w:rsidTr="00250CB1">
        <w:trPr>
          <w:trHeight w:val="405"/>
          <w:tblCellSpacing w:w="20" w:type="dxa"/>
        </w:trPr>
        <w:tc>
          <w:tcPr>
            <w:tcW w:w="10273" w:type="dxa"/>
            <w:shd w:val="clear" w:color="000000" w:fill="FFFFFF"/>
            <w:noWrap/>
            <w:hideMark/>
          </w:tcPr>
          <w:p w14:paraId="1A393BE1" w14:textId="77777777" w:rsidR="00250CB1" w:rsidRPr="004179E0" w:rsidRDefault="00E1388F" w:rsidP="00E1388F">
            <w:pPr>
              <w:spacing w:after="0" w:line="240" w:lineRule="auto"/>
              <w:rPr>
                <w:rFonts w:eastAsia="Times New Roman"/>
                <w:b/>
                <w:bCs/>
                <w:color w:val="000000"/>
                <w:lang w:eastAsia="es-MX"/>
              </w:rPr>
            </w:pPr>
            <w:r w:rsidRPr="004179E0">
              <w:rPr>
                <w:rFonts w:eastAsia="Times New Roman"/>
                <w:b/>
                <w:bCs/>
                <w:color w:val="000000"/>
                <w:lang w:eastAsia="es-MX"/>
              </w:rPr>
              <w:t>3.1 Describir Brevemente las Conclusiones de la Evaluación:</w:t>
            </w:r>
            <w:r w:rsidR="00BF25EA" w:rsidRPr="004179E0">
              <w:rPr>
                <w:rFonts w:eastAsia="Times New Roman"/>
                <w:b/>
                <w:bCs/>
                <w:color w:val="000000"/>
                <w:lang w:eastAsia="es-MX"/>
              </w:rPr>
              <w:t xml:space="preserve"> </w:t>
            </w:r>
          </w:p>
          <w:p w14:paraId="20BAF32B" w14:textId="77777777" w:rsidR="004179E0" w:rsidRDefault="004179E0" w:rsidP="00E1388F">
            <w:pPr>
              <w:spacing w:after="0" w:line="240" w:lineRule="auto"/>
              <w:rPr>
                <w:rFonts w:eastAsia="Times New Roman"/>
                <w:color w:val="000000"/>
                <w:lang w:eastAsia="es-MX"/>
              </w:rPr>
            </w:pPr>
          </w:p>
          <w:p w14:paraId="3F0F7696" w14:textId="716E9CD0" w:rsidR="00250CB1" w:rsidRDefault="00250CB1" w:rsidP="00E1388F">
            <w:pPr>
              <w:spacing w:after="0" w:line="240" w:lineRule="auto"/>
              <w:rPr>
                <w:rFonts w:eastAsia="Times New Roman"/>
                <w:color w:val="000000"/>
                <w:lang w:eastAsia="es-MX"/>
              </w:rPr>
            </w:pPr>
            <w:r w:rsidRPr="00E1388F">
              <w:rPr>
                <w:rFonts w:eastAsia="Times New Roman"/>
                <w:color w:val="000000"/>
                <w:lang w:eastAsia="es-MX"/>
              </w:rPr>
              <w:t>1:</w:t>
            </w:r>
            <w:r>
              <w:rPr>
                <w:rFonts w:eastAsia="Times New Roman"/>
                <w:color w:val="000000"/>
                <w:lang w:eastAsia="es-MX"/>
              </w:rPr>
              <w:t xml:space="preserve"> Las características del Fondo permitieron identificar los elementos que componen la Matriz de Marco Lógico, el Árbol de Problemas, Árbol de Objetivos Y Matriz de Indicadores para Resultados a nivel de Fin, Propósito Y componente. No obstante, se pudo observar que el Fin de la MIR solo se enfoca a disminuir la razón de mortalidad materna y no guarda relación que debe guardar la MIR con sus </w:t>
            </w:r>
            <w:r w:rsidR="008975B1">
              <w:rPr>
                <w:rFonts w:eastAsia="Times New Roman"/>
                <w:color w:val="000000"/>
                <w:lang w:eastAsia="es-MX"/>
              </w:rPr>
              <w:t>árboles</w:t>
            </w:r>
            <w:r>
              <w:rPr>
                <w:rFonts w:eastAsia="Times New Roman"/>
                <w:color w:val="000000"/>
                <w:lang w:eastAsia="es-MX"/>
              </w:rPr>
              <w:t xml:space="preserve"> de problemas y objetivos, así como de la definición de su población objetivo.</w:t>
            </w:r>
          </w:p>
          <w:p w14:paraId="4F453AA6" w14:textId="77777777" w:rsidR="00250CB1" w:rsidRDefault="00250CB1" w:rsidP="00E1388F">
            <w:pPr>
              <w:spacing w:after="0" w:line="240" w:lineRule="auto"/>
              <w:rPr>
                <w:rFonts w:eastAsia="Times New Roman"/>
                <w:color w:val="000000"/>
                <w:lang w:eastAsia="es-MX"/>
              </w:rPr>
            </w:pPr>
            <w:r w:rsidRPr="00250CB1">
              <w:rPr>
                <w:rFonts w:eastAsia="Times New Roman"/>
                <w:color w:val="000000"/>
                <w:lang w:eastAsia="es-MX"/>
              </w:rPr>
              <w:t>2: Durante esta revisión se detecta que el Fondo no cuenta con reglas de operación para su implementación, pero si cuenta con lineamientos que de acuerdo con la LCF en el capítulo V artículos 29,30 y 31 las entidades federativas utilizaran el FASSA para ejercer las atribuciones que en términos de los artículos 3,13 y 18 de la Ley General de Salud (LGS) les competan. En ese sentido, los recursos del FASSA están destinados a atender los gastos de los servicios de salud y de su distribución.</w:t>
            </w:r>
          </w:p>
          <w:p w14:paraId="2DE7CA32" w14:textId="77777777" w:rsidR="00250CB1" w:rsidRPr="00250CB1" w:rsidRDefault="00250CB1" w:rsidP="00250CB1">
            <w:pPr>
              <w:spacing w:after="0" w:line="240" w:lineRule="auto"/>
              <w:rPr>
                <w:rFonts w:eastAsia="Times New Roman"/>
                <w:color w:val="000000"/>
                <w:lang w:eastAsia="es-MX"/>
              </w:rPr>
            </w:pPr>
            <w:r w:rsidRPr="00250CB1">
              <w:rPr>
                <w:rFonts w:eastAsia="Times New Roman"/>
                <w:color w:val="000000"/>
                <w:lang w:eastAsia="es-MX"/>
              </w:rPr>
              <w:t>3: Se observa que no existen disposiciones que establezcan montos, procesos o el destino de los recursos del Fondo, por lo que se recomienda que la dependencia responsable impulse ante las autoridades federales que se regule la operación del mismo, o en su defecto que, respetando la Ley de Coordinación Fiscal, establezca los lineamientos en el ámbito estatal. Con esto se impulsará una mayor eficiencia en ejercicio de los recursos.</w:t>
            </w:r>
          </w:p>
          <w:p w14:paraId="3044BC7A" w14:textId="77777777" w:rsidR="00250CB1" w:rsidRPr="00250CB1" w:rsidRDefault="00250CB1" w:rsidP="00250CB1">
            <w:pPr>
              <w:spacing w:after="0" w:line="240" w:lineRule="auto"/>
              <w:rPr>
                <w:rFonts w:eastAsia="Times New Roman"/>
                <w:color w:val="000000"/>
                <w:lang w:eastAsia="es-MX"/>
              </w:rPr>
            </w:pPr>
            <w:r w:rsidRPr="00250CB1">
              <w:rPr>
                <w:rFonts w:eastAsia="Times New Roman"/>
                <w:color w:val="000000"/>
                <w:lang w:eastAsia="es-MX"/>
              </w:rPr>
              <w:lastRenderedPageBreak/>
              <w:t>4: El Fondo en cuestión de los resultados cuenta con información veraz y oportuna sobre los avances de los objetivos que se han establecido. Por lo que en el seguimiento y monitoreo de sus indicadores se observa que los resultados obtenidos son por demás favorables para las metas previamente definidas. Cabe destacar que entre los hallazgos más importantes se encuentran que el Fondo cuenta con matrices bien construidas en su mayoría, y que los indicadores y objetivos ahí definidos alcanzan el Propósito, esto es, que vinculan adecuadamente las necesidades observadas con el objetivo del programa presupuestario, es decir, el resultado.</w:t>
            </w:r>
          </w:p>
          <w:p w14:paraId="57FF65C4" w14:textId="77777777" w:rsidR="00250CB1" w:rsidRPr="00250CB1" w:rsidRDefault="00250CB1" w:rsidP="00250CB1">
            <w:pPr>
              <w:spacing w:after="0" w:line="240" w:lineRule="auto"/>
              <w:rPr>
                <w:rFonts w:eastAsia="Times New Roman"/>
                <w:color w:val="000000"/>
                <w:lang w:eastAsia="es-MX"/>
              </w:rPr>
            </w:pPr>
            <w:r w:rsidRPr="00250CB1">
              <w:rPr>
                <w:rFonts w:eastAsia="Times New Roman"/>
                <w:color w:val="000000"/>
                <w:lang w:eastAsia="es-MX"/>
              </w:rPr>
              <w:t xml:space="preserve">5: Además, la información referente a las metas definidas y su avance a través de la información que proporcionan los indicadores antes mencionados, significan una gran ayuda para llevar a cabo la evaluación, y para tomar decisiones estratégicas de mejora. </w:t>
            </w:r>
          </w:p>
          <w:p w14:paraId="7BEFFB0C" w14:textId="77777777" w:rsidR="00250CB1" w:rsidRDefault="00250CB1" w:rsidP="00250CB1">
            <w:pPr>
              <w:spacing w:after="0" w:line="240" w:lineRule="auto"/>
              <w:rPr>
                <w:rFonts w:eastAsia="Times New Roman"/>
                <w:color w:val="000000"/>
                <w:lang w:eastAsia="es-MX"/>
              </w:rPr>
            </w:pPr>
            <w:r w:rsidRPr="00250CB1">
              <w:rPr>
                <w:rFonts w:eastAsia="Times New Roman"/>
                <w:color w:val="000000"/>
                <w:lang w:eastAsia="es-MX"/>
              </w:rPr>
              <w:t>La planeación estratégica del fondo se encuentra bien estructurada, esto significa una base muy importante para el desarrollo de los programas presupuestarios a partir de su diseño de programación. En la actualidad, es la primera vez que se lleva a cabo la evaluación de consistencia y resultados para el Fondo por lo que esto significa un área de mejora que aprovechar en base a las sugerencias que de estas puedan seguir.</w:t>
            </w:r>
          </w:p>
          <w:p w14:paraId="407EFC50" w14:textId="77777777" w:rsidR="00250CB1" w:rsidRPr="00E1388F" w:rsidRDefault="00250CB1" w:rsidP="00E1388F">
            <w:pPr>
              <w:spacing w:after="0" w:line="240" w:lineRule="auto"/>
              <w:rPr>
                <w:rFonts w:eastAsia="Times New Roman"/>
                <w:color w:val="000000"/>
                <w:lang w:eastAsia="es-MX"/>
              </w:rPr>
            </w:pPr>
          </w:p>
        </w:tc>
      </w:tr>
      <w:tr w:rsidR="00690BCC" w:rsidRPr="004179E0" w14:paraId="74223154" w14:textId="77777777" w:rsidTr="00250CB1">
        <w:trPr>
          <w:trHeight w:val="390"/>
          <w:tblCellSpacing w:w="20" w:type="dxa"/>
        </w:trPr>
        <w:tc>
          <w:tcPr>
            <w:tcW w:w="10273" w:type="dxa"/>
            <w:shd w:val="clear" w:color="auto" w:fill="D9D9D9" w:themeFill="background1" w:themeFillShade="D9"/>
            <w:noWrap/>
            <w:hideMark/>
          </w:tcPr>
          <w:p w14:paraId="087463B8" w14:textId="77777777" w:rsidR="00E1388F" w:rsidRPr="004179E0" w:rsidRDefault="00E1388F" w:rsidP="00E1388F">
            <w:pPr>
              <w:spacing w:after="0" w:line="240" w:lineRule="auto"/>
              <w:rPr>
                <w:rFonts w:eastAsia="Times New Roman"/>
                <w:b/>
                <w:bCs/>
                <w:color w:val="000000"/>
                <w:lang w:eastAsia="es-MX"/>
              </w:rPr>
            </w:pPr>
            <w:r w:rsidRPr="004179E0">
              <w:rPr>
                <w:rFonts w:eastAsia="Times New Roman"/>
                <w:b/>
                <w:bCs/>
                <w:color w:val="000000"/>
                <w:lang w:eastAsia="es-MX"/>
              </w:rPr>
              <w:lastRenderedPageBreak/>
              <w:t>3.</w:t>
            </w:r>
            <w:r w:rsidRPr="004179E0">
              <w:rPr>
                <w:rFonts w:eastAsia="Times New Roman"/>
                <w:b/>
                <w:bCs/>
                <w:color w:val="000000"/>
                <w:shd w:val="clear" w:color="auto" w:fill="D9D9D9" w:themeFill="background1" w:themeFillShade="D9"/>
                <w:lang w:eastAsia="es-MX"/>
              </w:rPr>
              <w:t>2 Describir las Recomendaciones de Acuerdo a su Relevancia:</w:t>
            </w:r>
            <w:r w:rsidR="003E6E57" w:rsidRPr="004179E0">
              <w:rPr>
                <w:rFonts w:eastAsia="Times New Roman"/>
                <w:b/>
                <w:bCs/>
                <w:color w:val="000000"/>
                <w:lang w:eastAsia="es-MX"/>
              </w:rPr>
              <w:t xml:space="preserve">  Enlistarlas de acuerdo a su importancia</w:t>
            </w:r>
          </w:p>
        </w:tc>
      </w:tr>
      <w:tr w:rsidR="00690BCC" w:rsidRPr="00E1388F" w14:paraId="3A280DE7" w14:textId="77777777" w:rsidTr="00250CB1">
        <w:trPr>
          <w:trHeight w:val="465"/>
          <w:tblCellSpacing w:w="20" w:type="dxa"/>
        </w:trPr>
        <w:tc>
          <w:tcPr>
            <w:tcW w:w="10273" w:type="dxa"/>
            <w:shd w:val="clear" w:color="000000" w:fill="FFFFFF"/>
            <w:noWrap/>
            <w:hideMark/>
          </w:tcPr>
          <w:p w14:paraId="5ECB5927" w14:textId="77777777" w:rsidR="00E1388F" w:rsidRPr="00E1388F" w:rsidRDefault="004179E0" w:rsidP="002D0825">
            <w:pPr>
              <w:spacing w:after="0" w:line="240" w:lineRule="auto"/>
              <w:jc w:val="both"/>
              <w:rPr>
                <w:rFonts w:eastAsia="Times New Roman"/>
                <w:color w:val="000000"/>
                <w:lang w:eastAsia="es-MX"/>
              </w:rPr>
            </w:pPr>
            <w:r>
              <w:rPr>
                <w:rFonts w:eastAsia="Times New Roman"/>
                <w:color w:val="000000"/>
                <w:lang w:eastAsia="es-MX"/>
              </w:rPr>
              <w:t>1</w:t>
            </w:r>
            <w:r w:rsidR="00E1388F" w:rsidRPr="00E1388F">
              <w:rPr>
                <w:rFonts w:eastAsia="Times New Roman"/>
                <w:color w:val="000000"/>
                <w:lang w:eastAsia="es-MX"/>
              </w:rPr>
              <w:t>:</w:t>
            </w:r>
            <w:r w:rsidR="00180803">
              <w:rPr>
                <w:rFonts w:eastAsia="Times New Roman"/>
                <w:color w:val="000000"/>
                <w:lang w:eastAsia="es-MX"/>
              </w:rPr>
              <w:t xml:space="preserve"> Al analizar el grado de avance con que cuenta Servicios de Salud de </w:t>
            </w:r>
            <w:r w:rsidR="00FD34A1">
              <w:rPr>
                <w:rFonts w:eastAsia="Times New Roman"/>
                <w:color w:val="000000"/>
                <w:lang w:eastAsia="es-MX"/>
              </w:rPr>
              <w:t>Sinaloa</w:t>
            </w:r>
            <w:r w:rsidR="00180803">
              <w:rPr>
                <w:rFonts w:eastAsia="Times New Roman"/>
                <w:color w:val="000000"/>
                <w:lang w:eastAsia="es-MX"/>
              </w:rPr>
              <w:t xml:space="preserve">, en relación a la ejecución del Presupuesto Basado en Resultados, se </w:t>
            </w:r>
            <w:r w:rsidR="00FD34A1">
              <w:rPr>
                <w:rFonts w:eastAsia="Times New Roman"/>
                <w:color w:val="000000"/>
                <w:lang w:eastAsia="es-MX"/>
              </w:rPr>
              <w:t>constató</w:t>
            </w:r>
            <w:r w:rsidR="00180803">
              <w:rPr>
                <w:rFonts w:eastAsia="Times New Roman"/>
                <w:color w:val="000000"/>
                <w:lang w:eastAsia="es-MX"/>
              </w:rPr>
              <w:t xml:space="preserve"> que cuentan con la Matriz de </w:t>
            </w:r>
            <w:r w:rsidR="00FD34A1">
              <w:rPr>
                <w:rFonts w:eastAsia="Times New Roman"/>
                <w:color w:val="000000"/>
                <w:lang w:eastAsia="es-MX"/>
              </w:rPr>
              <w:t>Indicadores</w:t>
            </w:r>
            <w:r w:rsidR="00180803">
              <w:rPr>
                <w:rFonts w:eastAsia="Times New Roman"/>
                <w:color w:val="000000"/>
                <w:lang w:eastAsia="es-MX"/>
              </w:rPr>
              <w:t xml:space="preserve"> de Resultados, sus fichas técnicas de indicadores, árbol de problemas y objetivos de 17 programas de Servicios de Salud de Sinaloa</w:t>
            </w:r>
            <w:r w:rsidR="00FD34A1">
              <w:rPr>
                <w:rFonts w:eastAsia="Times New Roman"/>
                <w:color w:val="000000"/>
                <w:lang w:eastAsia="es-MX"/>
              </w:rPr>
              <w:t xml:space="preserve">, observándose que quedan pendientes 13 programa, incumpliendo con lo establecido </w:t>
            </w:r>
            <w:r w:rsidR="00523D0C">
              <w:rPr>
                <w:rFonts w:eastAsia="Times New Roman"/>
                <w:color w:val="000000"/>
                <w:lang w:eastAsia="es-MX"/>
              </w:rPr>
              <w:t xml:space="preserve">en los artículos 134 primer párrafo de la Constitución Política de los Estados unidos Mexicanos; 155 primer párrafo de la Constitución Política del Estado de Sinaloa; 19 fracción VI y fracción II inciso c) segundo párrafo , 72 fracción III y 79 de la Ley General de Contabilidad Gubernamental, y articulo 110 de la Ley Federal de Presupuesto y Responsabilidad Hacendaria. </w:t>
            </w:r>
          </w:p>
        </w:tc>
      </w:tr>
      <w:tr w:rsidR="00690BCC" w:rsidRPr="00E1388F" w14:paraId="723A9562" w14:textId="77777777" w:rsidTr="00250CB1">
        <w:trPr>
          <w:trHeight w:val="370"/>
          <w:tblCellSpacing w:w="20" w:type="dxa"/>
        </w:trPr>
        <w:tc>
          <w:tcPr>
            <w:tcW w:w="10273" w:type="dxa"/>
            <w:shd w:val="clear" w:color="000000" w:fill="FFFFFF"/>
            <w:noWrap/>
            <w:hideMark/>
          </w:tcPr>
          <w:p w14:paraId="2DAA1D80" w14:textId="22D08C3B" w:rsidR="00E1388F" w:rsidRPr="00E1388F" w:rsidRDefault="004179E0" w:rsidP="002D0825">
            <w:pPr>
              <w:spacing w:after="0" w:line="240" w:lineRule="auto"/>
              <w:jc w:val="both"/>
              <w:rPr>
                <w:rFonts w:eastAsia="Times New Roman"/>
                <w:color w:val="000000"/>
                <w:lang w:eastAsia="es-MX"/>
              </w:rPr>
            </w:pPr>
            <w:r>
              <w:rPr>
                <w:rFonts w:eastAsia="Times New Roman"/>
                <w:color w:val="000000"/>
                <w:lang w:eastAsia="es-MX"/>
              </w:rPr>
              <w:t>2</w:t>
            </w:r>
            <w:r w:rsidR="00E1388F" w:rsidRPr="00E1388F">
              <w:rPr>
                <w:rFonts w:eastAsia="Times New Roman"/>
                <w:color w:val="000000"/>
                <w:lang w:eastAsia="es-MX"/>
              </w:rPr>
              <w:t>:</w:t>
            </w:r>
            <w:r w:rsidR="00180803">
              <w:rPr>
                <w:rFonts w:eastAsia="Times New Roman"/>
                <w:color w:val="000000"/>
                <w:lang w:eastAsia="es-MX"/>
              </w:rPr>
              <w:t xml:space="preserve"> Se observa que Servicios de Salud de </w:t>
            </w:r>
            <w:r w:rsidR="00FD34A1">
              <w:rPr>
                <w:rFonts w:eastAsia="Times New Roman"/>
                <w:color w:val="000000"/>
                <w:lang w:eastAsia="es-MX"/>
              </w:rPr>
              <w:t>S</w:t>
            </w:r>
            <w:r w:rsidR="00180803">
              <w:rPr>
                <w:rFonts w:eastAsia="Times New Roman"/>
                <w:color w:val="000000"/>
                <w:lang w:eastAsia="es-MX"/>
              </w:rPr>
              <w:t>inaloa durante el ejercicio</w:t>
            </w:r>
            <w:r w:rsidR="00FD34A1">
              <w:rPr>
                <w:rFonts w:eastAsia="Times New Roman"/>
                <w:color w:val="000000"/>
                <w:lang w:eastAsia="es-MX"/>
              </w:rPr>
              <w:t xml:space="preserve"> </w:t>
            </w:r>
            <w:r w:rsidR="00180803">
              <w:rPr>
                <w:rFonts w:eastAsia="Times New Roman"/>
                <w:color w:val="000000"/>
                <w:lang w:eastAsia="es-MX"/>
              </w:rPr>
              <w:t>fiscal 201</w:t>
            </w:r>
            <w:r w:rsidR="008975B1">
              <w:rPr>
                <w:rFonts w:eastAsia="Times New Roman"/>
                <w:color w:val="000000"/>
                <w:lang w:eastAsia="es-MX"/>
              </w:rPr>
              <w:t>8</w:t>
            </w:r>
            <w:r w:rsidR="00180803">
              <w:rPr>
                <w:rFonts w:eastAsia="Times New Roman"/>
                <w:color w:val="000000"/>
                <w:lang w:eastAsia="es-MX"/>
              </w:rPr>
              <w:t xml:space="preserve">, no han cumplido con la publicación de su programa anual de evaluaciones en sus </w:t>
            </w:r>
            <w:r w:rsidR="008975B1">
              <w:rPr>
                <w:rFonts w:eastAsia="Times New Roman"/>
                <w:color w:val="000000"/>
                <w:lang w:eastAsia="es-MX"/>
              </w:rPr>
              <w:t>páginas</w:t>
            </w:r>
            <w:r w:rsidR="00180803">
              <w:rPr>
                <w:rFonts w:eastAsia="Times New Roman"/>
                <w:color w:val="000000"/>
                <w:lang w:eastAsia="es-MX"/>
              </w:rPr>
              <w:t xml:space="preserve"> de internet a </w:t>
            </w:r>
            <w:r w:rsidR="008975B1">
              <w:rPr>
                <w:rFonts w:eastAsia="Times New Roman"/>
                <w:color w:val="000000"/>
                <w:lang w:eastAsia="es-MX"/>
              </w:rPr>
              <w:t>más</w:t>
            </w:r>
            <w:r w:rsidR="00180803">
              <w:rPr>
                <w:rFonts w:eastAsia="Times New Roman"/>
                <w:color w:val="000000"/>
                <w:lang w:eastAsia="es-MX"/>
              </w:rPr>
              <w:t xml:space="preserve"> tardar el </w:t>
            </w:r>
            <w:r w:rsidR="008975B1">
              <w:rPr>
                <w:rFonts w:eastAsia="Times New Roman"/>
                <w:color w:val="000000"/>
                <w:lang w:eastAsia="es-MX"/>
              </w:rPr>
              <w:t>último</w:t>
            </w:r>
            <w:r w:rsidR="00180803">
              <w:rPr>
                <w:rFonts w:eastAsia="Times New Roman"/>
                <w:color w:val="000000"/>
                <w:lang w:eastAsia="es-MX"/>
              </w:rPr>
              <w:t xml:space="preserve"> </w:t>
            </w:r>
            <w:r w:rsidR="00FD34A1">
              <w:rPr>
                <w:rFonts w:eastAsia="Times New Roman"/>
                <w:color w:val="000000"/>
                <w:lang w:eastAsia="es-MX"/>
              </w:rPr>
              <w:t>día</w:t>
            </w:r>
            <w:r w:rsidR="00180803">
              <w:rPr>
                <w:rFonts w:eastAsia="Times New Roman"/>
                <w:color w:val="000000"/>
                <w:lang w:eastAsia="es-MX"/>
              </w:rPr>
              <w:t xml:space="preserve"> hábil </w:t>
            </w:r>
            <w:r w:rsidR="00FD34A1">
              <w:rPr>
                <w:rFonts w:eastAsia="Times New Roman"/>
                <w:color w:val="000000"/>
                <w:lang w:eastAsia="es-MX"/>
              </w:rPr>
              <w:t>del</w:t>
            </w:r>
            <w:r w:rsidR="00180803">
              <w:rPr>
                <w:rFonts w:eastAsia="Times New Roman"/>
                <w:color w:val="000000"/>
                <w:lang w:eastAsia="es-MX"/>
              </w:rPr>
              <w:t xml:space="preserve"> mes de abril de dicho ejercicio, así como las </w:t>
            </w:r>
            <w:r w:rsidR="00FD34A1">
              <w:rPr>
                <w:rFonts w:eastAsia="Times New Roman"/>
                <w:color w:val="000000"/>
                <w:lang w:eastAsia="es-MX"/>
              </w:rPr>
              <w:t>metodologías</w:t>
            </w:r>
            <w:r w:rsidR="00180803">
              <w:rPr>
                <w:rFonts w:eastAsia="Times New Roman"/>
                <w:color w:val="000000"/>
                <w:lang w:eastAsia="es-MX"/>
              </w:rPr>
              <w:t xml:space="preserve"> de indicadores de desempeño, además </w:t>
            </w:r>
            <w:r w:rsidR="00FD34A1">
              <w:rPr>
                <w:rFonts w:eastAsia="Times New Roman"/>
                <w:color w:val="000000"/>
                <w:lang w:eastAsia="es-MX"/>
              </w:rPr>
              <w:t>omitió</w:t>
            </w:r>
            <w:r w:rsidR="00180803">
              <w:rPr>
                <w:rFonts w:eastAsia="Times New Roman"/>
                <w:color w:val="000000"/>
                <w:lang w:eastAsia="es-MX"/>
              </w:rPr>
              <w:t xml:space="preserve"> publicar a </w:t>
            </w:r>
            <w:r w:rsidR="008975B1">
              <w:rPr>
                <w:rFonts w:eastAsia="Times New Roman"/>
                <w:color w:val="000000"/>
                <w:lang w:eastAsia="es-MX"/>
              </w:rPr>
              <w:t>más</w:t>
            </w:r>
            <w:r w:rsidR="00180803">
              <w:rPr>
                <w:rFonts w:eastAsia="Times New Roman"/>
                <w:color w:val="000000"/>
                <w:lang w:eastAsia="es-MX"/>
              </w:rPr>
              <w:t xml:space="preserve"> tardar 30 días posteriores a la </w:t>
            </w:r>
            <w:r w:rsidR="00FD34A1">
              <w:rPr>
                <w:rFonts w:eastAsia="Times New Roman"/>
                <w:color w:val="000000"/>
                <w:lang w:eastAsia="es-MX"/>
              </w:rPr>
              <w:t>conclusión</w:t>
            </w:r>
            <w:r w:rsidR="00180803">
              <w:rPr>
                <w:rFonts w:eastAsia="Times New Roman"/>
                <w:color w:val="000000"/>
                <w:lang w:eastAsia="es-MX"/>
              </w:rPr>
              <w:t xml:space="preserve"> de las evaluaciones, los resultados de las mismas e </w:t>
            </w:r>
            <w:r w:rsidR="00FD34A1">
              <w:rPr>
                <w:rFonts w:eastAsia="Times New Roman"/>
                <w:color w:val="000000"/>
                <w:lang w:eastAsia="es-MX"/>
              </w:rPr>
              <w:t>informar</w:t>
            </w:r>
            <w:r w:rsidR="00180803">
              <w:rPr>
                <w:rFonts w:eastAsia="Times New Roman"/>
                <w:color w:val="000000"/>
                <w:lang w:eastAsia="es-MX"/>
              </w:rPr>
              <w:t xml:space="preserve"> sobre las personas que hicieron las evaluaciones. </w:t>
            </w:r>
          </w:p>
        </w:tc>
      </w:tr>
    </w:tbl>
    <w:p w14:paraId="4C81C14B" w14:textId="77777777" w:rsidR="00EC63B6" w:rsidRDefault="00EC63B6"/>
    <w:tbl>
      <w:tblPr>
        <w:tblW w:w="10261"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279"/>
        <w:gridCol w:w="1813"/>
        <w:gridCol w:w="98"/>
        <w:gridCol w:w="246"/>
        <w:gridCol w:w="515"/>
        <w:gridCol w:w="747"/>
        <w:gridCol w:w="782"/>
        <w:gridCol w:w="4841"/>
      </w:tblGrid>
      <w:tr w:rsidR="00690BCC" w:rsidRPr="00E1388F" w14:paraId="63ABF53F" w14:textId="77777777" w:rsidTr="00EC63B6">
        <w:trPr>
          <w:trHeight w:val="300"/>
          <w:tblCellSpacing w:w="20" w:type="dxa"/>
        </w:trPr>
        <w:tc>
          <w:tcPr>
            <w:tcW w:w="10181" w:type="dxa"/>
            <w:gridSpan w:val="8"/>
            <w:shd w:val="clear" w:color="000000" w:fill="8B1D31"/>
            <w:noWrap/>
            <w:hideMark/>
          </w:tcPr>
          <w:p w14:paraId="28E13B48" w14:textId="77777777" w:rsidR="00E1388F" w:rsidRPr="00E1388F" w:rsidRDefault="00E1388F" w:rsidP="00E1388F">
            <w:pPr>
              <w:spacing w:after="0" w:line="240" w:lineRule="auto"/>
              <w:rPr>
                <w:rFonts w:eastAsia="Times New Roman"/>
                <w:b/>
                <w:color w:val="FFFFFF"/>
                <w:lang w:eastAsia="es-MX"/>
              </w:rPr>
            </w:pPr>
            <w:r w:rsidRPr="00E1388F">
              <w:rPr>
                <w:rFonts w:eastAsia="Times New Roman"/>
                <w:b/>
                <w:color w:val="FFFFFF"/>
                <w:lang w:eastAsia="es-MX"/>
              </w:rPr>
              <w:t>4. Datos de la Instancia Evaluadora</w:t>
            </w:r>
          </w:p>
        </w:tc>
      </w:tr>
      <w:tr w:rsidR="00EC63B6" w:rsidRPr="00E1388F" w14:paraId="36357215" w14:textId="77777777" w:rsidTr="00EC63B6">
        <w:trPr>
          <w:trHeight w:val="289"/>
          <w:tblCellSpacing w:w="20" w:type="dxa"/>
        </w:trPr>
        <w:tc>
          <w:tcPr>
            <w:tcW w:w="4608" w:type="dxa"/>
            <w:gridSpan w:val="6"/>
            <w:shd w:val="clear" w:color="000000" w:fill="FFFFFF"/>
            <w:noWrap/>
            <w:vAlign w:val="bottom"/>
            <w:hideMark/>
          </w:tcPr>
          <w:p w14:paraId="56EC65A6" w14:textId="77777777" w:rsidR="00EC63B6" w:rsidRPr="00E1388F" w:rsidRDefault="00EC63B6" w:rsidP="00690BCC">
            <w:pPr>
              <w:spacing w:after="0" w:line="240" w:lineRule="auto"/>
              <w:rPr>
                <w:rFonts w:eastAsia="Times New Roman"/>
                <w:color w:val="000000"/>
                <w:lang w:eastAsia="es-MX"/>
              </w:rPr>
            </w:pPr>
            <w:r w:rsidRPr="004179E0">
              <w:rPr>
                <w:rFonts w:eastAsia="Times New Roman"/>
                <w:b/>
                <w:bCs/>
                <w:color w:val="000000"/>
                <w:lang w:eastAsia="es-MX"/>
              </w:rPr>
              <w:t>4.1 Nombre del Coordinador de la Evaluación:</w:t>
            </w:r>
            <w:r w:rsidR="002E4904" w:rsidRPr="004179E0">
              <w:rPr>
                <w:rFonts w:eastAsia="Times New Roman"/>
                <w:b/>
                <w:bCs/>
                <w:color w:val="000000"/>
                <w:lang w:eastAsia="es-MX"/>
              </w:rPr>
              <w:t xml:space="preserve"> </w:t>
            </w:r>
            <w:r w:rsidR="00250CB1">
              <w:rPr>
                <w:rFonts w:eastAsia="Times New Roman"/>
                <w:color w:val="000000"/>
                <w:lang w:eastAsia="es-MX"/>
              </w:rPr>
              <w:t>Chavez, Ames y CIA., S.C.</w:t>
            </w:r>
          </w:p>
        </w:tc>
        <w:tc>
          <w:tcPr>
            <w:tcW w:w="5533" w:type="dxa"/>
            <w:gridSpan w:val="2"/>
            <w:shd w:val="clear" w:color="000000" w:fill="FFFFFF"/>
            <w:noWrap/>
            <w:hideMark/>
          </w:tcPr>
          <w:p w14:paraId="4604837F" w14:textId="77777777" w:rsidR="00EC63B6" w:rsidRPr="00E1388F" w:rsidRDefault="00EC63B6" w:rsidP="00EC63B6">
            <w:pPr>
              <w:tabs>
                <w:tab w:val="left" w:pos="5350"/>
              </w:tabs>
              <w:spacing w:after="0" w:line="240" w:lineRule="auto"/>
              <w:ind w:right="526"/>
              <w:rPr>
                <w:rFonts w:eastAsia="Times New Roman"/>
                <w:color w:val="000000"/>
                <w:lang w:eastAsia="es-MX"/>
              </w:rPr>
            </w:pPr>
            <w:r w:rsidRPr="00E1388F">
              <w:rPr>
                <w:rFonts w:eastAsia="Times New Roman"/>
                <w:color w:val="000000"/>
                <w:lang w:eastAsia="es-MX"/>
              </w:rPr>
              <w:t> </w:t>
            </w:r>
            <w:r w:rsidR="003E6E57">
              <w:rPr>
                <w:rFonts w:eastAsia="Times New Roman"/>
                <w:color w:val="000000"/>
                <w:lang w:eastAsia="es-MX"/>
              </w:rPr>
              <w:t>Nombre completo</w:t>
            </w:r>
            <w:r w:rsidR="006511A0">
              <w:rPr>
                <w:rFonts w:eastAsia="Times New Roman"/>
                <w:color w:val="000000"/>
                <w:lang w:eastAsia="es-MX"/>
              </w:rPr>
              <w:t>: Francisco Javier Ames Cebreros.</w:t>
            </w:r>
          </w:p>
        </w:tc>
      </w:tr>
      <w:tr w:rsidR="00EC63B6" w:rsidRPr="00E1388F" w14:paraId="6A5D15D4" w14:textId="77777777" w:rsidTr="00EC63B6">
        <w:trPr>
          <w:trHeight w:val="360"/>
          <w:tblCellSpacing w:w="20" w:type="dxa"/>
        </w:trPr>
        <w:tc>
          <w:tcPr>
            <w:tcW w:w="1189" w:type="dxa"/>
            <w:shd w:val="clear" w:color="000000" w:fill="FFFFFF"/>
            <w:noWrap/>
            <w:hideMark/>
          </w:tcPr>
          <w:p w14:paraId="3B666C64" w14:textId="77777777" w:rsidR="00E1388F" w:rsidRPr="004179E0" w:rsidRDefault="00E1388F" w:rsidP="00E1388F">
            <w:pPr>
              <w:spacing w:after="0" w:line="240" w:lineRule="auto"/>
              <w:rPr>
                <w:rFonts w:eastAsia="Times New Roman"/>
                <w:b/>
                <w:bCs/>
                <w:color w:val="000000"/>
                <w:lang w:eastAsia="es-MX"/>
              </w:rPr>
            </w:pPr>
            <w:r w:rsidRPr="004179E0">
              <w:rPr>
                <w:rFonts w:eastAsia="Times New Roman"/>
                <w:b/>
                <w:bCs/>
                <w:color w:val="000000"/>
                <w:lang w:eastAsia="es-MX"/>
              </w:rPr>
              <w:t>4.2 Cargo:</w:t>
            </w:r>
          </w:p>
        </w:tc>
        <w:tc>
          <w:tcPr>
            <w:tcW w:w="8952" w:type="dxa"/>
            <w:gridSpan w:val="7"/>
            <w:shd w:val="clear" w:color="000000" w:fill="FFFFFF"/>
            <w:noWrap/>
            <w:hideMark/>
          </w:tcPr>
          <w:p w14:paraId="63590D38" w14:textId="77777777" w:rsidR="00E1388F" w:rsidRPr="00E1388F" w:rsidRDefault="003E6E57" w:rsidP="003E6E57">
            <w:pPr>
              <w:spacing w:after="0" w:line="240" w:lineRule="auto"/>
              <w:rPr>
                <w:rFonts w:eastAsia="Times New Roman"/>
                <w:color w:val="000000"/>
                <w:lang w:eastAsia="es-MX"/>
              </w:rPr>
            </w:pPr>
            <w:r>
              <w:rPr>
                <w:rFonts w:eastAsia="Times New Roman"/>
                <w:color w:val="000000"/>
                <w:lang w:eastAsia="es-MX"/>
              </w:rPr>
              <w:t>Nivel jerárquico del evaluador</w:t>
            </w:r>
            <w:r w:rsidR="002E4904">
              <w:rPr>
                <w:rFonts w:eastAsia="Times New Roman"/>
                <w:color w:val="000000"/>
                <w:lang w:eastAsia="es-MX"/>
              </w:rPr>
              <w:t>:</w:t>
            </w:r>
            <w:r w:rsidR="00E1388F" w:rsidRPr="00E1388F">
              <w:rPr>
                <w:rFonts w:eastAsia="Times New Roman"/>
                <w:color w:val="000000"/>
                <w:lang w:eastAsia="es-MX"/>
              </w:rPr>
              <w:t> </w:t>
            </w:r>
            <w:r w:rsidR="006511A0">
              <w:rPr>
                <w:rFonts w:eastAsia="Times New Roman"/>
                <w:color w:val="000000"/>
                <w:lang w:eastAsia="es-MX"/>
              </w:rPr>
              <w:t xml:space="preserve">Director General. </w:t>
            </w:r>
          </w:p>
        </w:tc>
      </w:tr>
      <w:tr w:rsidR="00EC63B6" w:rsidRPr="00E1388F" w14:paraId="3FC3EA73" w14:textId="77777777" w:rsidTr="00EC63B6">
        <w:trPr>
          <w:trHeight w:val="375"/>
          <w:tblCellSpacing w:w="20" w:type="dxa"/>
        </w:trPr>
        <w:tc>
          <w:tcPr>
            <w:tcW w:w="3346" w:type="dxa"/>
            <w:gridSpan w:val="4"/>
            <w:shd w:val="clear" w:color="000000" w:fill="FFFFFF"/>
            <w:noWrap/>
            <w:hideMark/>
          </w:tcPr>
          <w:p w14:paraId="101B42DB" w14:textId="77777777" w:rsidR="00E1388F" w:rsidRPr="00E1388F" w:rsidRDefault="00E1388F" w:rsidP="00E1388F">
            <w:pPr>
              <w:spacing w:after="0" w:line="240" w:lineRule="auto"/>
              <w:rPr>
                <w:rFonts w:eastAsia="Times New Roman"/>
                <w:color w:val="000000"/>
                <w:lang w:eastAsia="es-MX"/>
              </w:rPr>
            </w:pPr>
            <w:r w:rsidRPr="004179E0">
              <w:rPr>
                <w:rFonts w:eastAsia="Times New Roman"/>
                <w:b/>
                <w:bCs/>
                <w:color w:val="000000"/>
                <w:lang w:eastAsia="es-MX"/>
              </w:rPr>
              <w:t>4.3 Institución a la que Pertenece:</w:t>
            </w:r>
            <w:r w:rsidR="00250CB1">
              <w:t xml:space="preserve"> </w:t>
            </w:r>
            <w:r w:rsidR="00250CB1" w:rsidRPr="00250CB1">
              <w:rPr>
                <w:rFonts w:eastAsia="Times New Roman"/>
                <w:color w:val="000000"/>
                <w:lang w:eastAsia="es-MX"/>
              </w:rPr>
              <w:t>Chavez, Ames y CIA., S.C.</w:t>
            </w:r>
          </w:p>
        </w:tc>
        <w:tc>
          <w:tcPr>
            <w:tcW w:w="6795" w:type="dxa"/>
            <w:gridSpan w:val="4"/>
            <w:shd w:val="clear" w:color="000000" w:fill="FFFFFF"/>
            <w:noWrap/>
            <w:hideMark/>
          </w:tcPr>
          <w:p w14:paraId="00E08110" w14:textId="77777777" w:rsidR="00E1388F" w:rsidRPr="00E1388F" w:rsidRDefault="003E6E57" w:rsidP="003E6E57">
            <w:pPr>
              <w:spacing w:after="0" w:line="240" w:lineRule="auto"/>
              <w:rPr>
                <w:rFonts w:eastAsia="Times New Roman"/>
                <w:color w:val="000000"/>
                <w:lang w:eastAsia="es-MX"/>
              </w:rPr>
            </w:pPr>
            <w:r>
              <w:rPr>
                <w:rFonts w:eastAsia="Times New Roman"/>
                <w:color w:val="000000"/>
                <w:lang w:eastAsia="es-MX"/>
              </w:rPr>
              <w:t xml:space="preserve">Nombre de la </w:t>
            </w:r>
            <w:r w:rsidR="006511A0">
              <w:rPr>
                <w:rFonts w:eastAsia="Times New Roman"/>
                <w:color w:val="000000"/>
                <w:lang w:eastAsia="es-MX"/>
              </w:rPr>
              <w:t>dependencia a</w:t>
            </w:r>
            <w:r>
              <w:rPr>
                <w:rFonts w:eastAsia="Times New Roman"/>
                <w:color w:val="000000"/>
                <w:lang w:eastAsia="es-MX"/>
              </w:rPr>
              <w:t xml:space="preserve"> la que pertenece</w:t>
            </w:r>
            <w:r w:rsidR="006511A0">
              <w:rPr>
                <w:rFonts w:eastAsia="Times New Roman"/>
                <w:color w:val="000000"/>
                <w:lang w:eastAsia="es-MX"/>
              </w:rPr>
              <w:t xml:space="preserve">: CHAVEZ, AMES Y CIA., S.C. Contadores públicos y consultores. </w:t>
            </w:r>
          </w:p>
        </w:tc>
      </w:tr>
      <w:tr w:rsidR="00EC63B6" w:rsidRPr="00E1388F" w14:paraId="1D072739" w14:textId="77777777" w:rsidTr="00EC63B6">
        <w:trPr>
          <w:trHeight w:val="345"/>
          <w:tblCellSpacing w:w="20" w:type="dxa"/>
        </w:trPr>
        <w:tc>
          <w:tcPr>
            <w:tcW w:w="3002" w:type="dxa"/>
            <w:gridSpan w:val="2"/>
            <w:shd w:val="clear" w:color="000000" w:fill="FFFFFF"/>
            <w:noWrap/>
            <w:hideMark/>
          </w:tcPr>
          <w:p w14:paraId="5A061AFD" w14:textId="77777777" w:rsidR="00E1388F" w:rsidRPr="004179E0" w:rsidRDefault="00E1388F" w:rsidP="00E1388F">
            <w:pPr>
              <w:spacing w:after="0" w:line="240" w:lineRule="auto"/>
              <w:rPr>
                <w:rFonts w:eastAsia="Times New Roman"/>
                <w:b/>
                <w:bCs/>
                <w:color w:val="000000"/>
                <w:lang w:eastAsia="es-MX"/>
              </w:rPr>
            </w:pPr>
            <w:r w:rsidRPr="004179E0">
              <w:rPr>
                <w:rFonts w:eastAsia="Times New Roman"/>
                <w:b/>
                <w:bCs/>
                <w:color w:val="000000"/>
                <w:lang w:eastAsia="es-MX"/>
              </w:rPr>
              <w:t>4.4 Principales Colaboradores:</w:t>
            </w:r>
          </w:p>
        </w:tc>
        <w:tc>
          <w:tcPr>
            <w:tcW w:w="7139" w:type="dxa"/>
            <w:gridSpan w:val="6"/>
            <w:shd w:val="clear" w:color="000000" w:fill="FFFFFF"/>
            <w:noWrap/>
            <w:hideMark/>
          </w:tcPr>
          <w:p w14:paraId="37463FB7" w14:textId="77777777" w:rsidR="00E1388F" w:rsidRPr="00E1388F" w:rsidRDefault="003E6E57" w:rsidP="003E6E57">
            <w:pPr>
              <w:spacing w:after="0" w:line="240" w:lineRule="auto"/>
              <w:rPr>
                <w:rFonts w:eastAsia="Times New Roman"/>
                <w:color w:val="000000"/>
                <w:lang w:eastAsia="es-MX"/>
              </w:rPr>
            </w:pPr>
            <w:r>
              <w:rPr>
                <w:rFonts w:eastAsia="Times New Roman"/>
                <w:color w:val="000000"/>
                <w:lang w:eastAsia="es-MX"/>
              </w:rPr>
              <w:t>Nombre de los integrantes de la evaluación y responsabilidades</w:t>
            </w:r>
          </w:p>
        </w:tc>
      </w:tr>
      <w:tr w:rsidR="00EC63B6" w:rsidRPr="00E1388F" w14:paraId="09D65487" w14:textId="77777777" w:rsidTr="00EC63B6">
        <w:trPr>
          <w:trHeight w:val="360"/>
          <w:tblCellSpacing w:w="20" w:type="dxa"/>
        </w:trPr>
        <w:tc>
          <w:tcPr>
            <w:tcW w:w="5390" w:type="dxa"/>
            <w:gridSpan w:val="7"/>
            <w:shd w:val="clear" w:color="000000" w:fill="FFFFFF"/>
            <w:noWrap/>
            <w:hideMark/>
          </w:tcPr>
          <w:p w14:paraId="36788415" w14:textId="77777777" w:rsidR="00690BCC" w:rsidRPr="00E1388F" w:rsidRDefault="00690BCC" w:rsidP="00690BCC">
            <w:pPr>
              <w:spacing w:after="0" w:line="240" w:lineRule="auto"/>
              <w:ind w:right="-212"/>
              <w:rPr>
                <w:rFonts w:eastAsia="Times New Roman"/>
                <w:color w:val="000000"/>
                <w:lang w:eastAsia="es-MX"/>
              </w:rPr>
            </w:pPr>
            <w:r w:rsidRPr="004179E0">
              <w:rPr>
                <w:rFonts w:eastAsia="Times New Roman"/>
                <w:b/>
                <w:bCs/>
                <w:color w:val="000000"/>
                <w:lang w:eastAsia="es-MX"/>
              </w:rPr>
              <w:lastRenderedPageBreak/>
              <w:t>4.5 Correo Electrónico del Coordinador de la Evaluación:</w:t>
            </w:r>
            <w:r w:rsidR="006511A0">
              <w:rPr>
                <w:rFonts w:eastAsia="Times New Roman"/>
                <w:color w:val="000000"/>
                <w:lang w:eastAsia="es-MX"/>
              </w:rPr>
              <w:t xml:space="preserve"> ames@mgichavezames.com</w:t>
            </w:r>
          </w:p>
        </w:tc>
        <w:tc>
          <w:tcPr>
            <w:tcW w:w="4751" w:type="dxa"/>
            <w:shd w:val="clear" w:color="000000" w:fill="FFFFFF"/>
            <w:noWrap/>
            <w:hideMark/>
          </w:tcPr>
          <w:p w14:paraId="486FF351" w14:textId="77777777" w:rsidR="00690BCC" w:rsidRPr="00E1388F" w:rsidRDefault="00690BCC" w:rsidP="00E1388F">
            <w:pPr>
              <w:spacing w:after="0" w:line="240" w:lineRule="auto"/>
              <w:rPr>
                <w:rFonts w:eastAsia="Times New Roman"/>
                <w:color w:val="000000"/>
                <w:lang w:eastAsia="es-MX"/>
              </w:rPr>
            </w:pPr>
            <w:r w:rsidRPr="00E1388F">
              <w:rPr>
                <w:rFonts w:eastAsia="Times New Roman"/>
                <w:color w:val="000000"/>
                <w:lang w:eastAsia="es-MX"/>
              </w:rPr>
              <w:t> </w:t>
            </w:r>
            <w:r w:rsidR="003E6E57">
              <w:rPr>
                <w:rFonts w:eastAsia="Times New Roman"/>
                <w:color w:val="000000"/>
                <w:lang w:eastAsia="es-MX"/>
              </w:rPr>
              <w:t>Dirección de correo institucional o personal</w:t>
            </w:r>
            <w:r w:rsidR="00250CB1">
              <w:rPr>
                <w:rFonts w:eastAsia="Times New Roman"/>
                <w:color w:val="000000"/>
                <w:lang w:eastAsia="es-MX"/>
              </w:rPr>
              <w:t xml:space="preserve">: </w:t>
            </w:r>
            <w:r w:rsidR="00250CB1" w:rsidRPr="00250CB1">
              <w:rPr>
                <w:rFonts w:eastAsia="Times New Roman"/>
                <w:color w:val="000000"/>
                <w:lang w:eastAsia="es-MX"/>
              </w:rPr>
              <w:t>ames@mgichavezames.com</w:t>
            </w:r>
          </w:p>
        </w:tc>
      </w:tr>
      <w:tr w:rsidR="00EC63B6" w:rsidRPr="00E1388F" w14:paraId="0695B51B" w14:textId="77777777" w:rsidTr="00EC63B6">
        <w:trPr>
          <w:trHeight w:val="390"/>
          <w:tblCellSpacing w:w="20" w:type="dxa"/>
        </w:trPr>
        <w:tc>
          <w:tcPr>
            <w:tcW w:w="3100" w:type="dxa"/>
            <w:gridSpan w:val="3"/>
            <w:shd w:val="clear" w:color="000000" w:fill="FFFFFF"/>
            <w:noWrap/>
            <w:hideMark/>
          </w:tcPr>
          <w:p w14:paraId="7E757A4F" w14:textId="77777777" w:rsidR="00EC63B6" w:rsidRPr="004179E0" w:rsidRDefault="00EC63B6" w:rsidP="00E1388F">
            <w:pPr>
              <w:spacing w:after="0" w:line="240" w:lineRule="auto"/>
              <w:rPr>
                <w:rFonts w:eastAsia="Times New Roman"/>
                <w:b/>
                <w:bCs/>
                <w:color w:val="000000"/>
                <w:lang w:eastAsia="es-MX"/>
              </w:rPr>
            </w:pPr>
            <w:r w:rsidRPr="004179E0">
              <w:rPr>
                <w:rFonts w:eastAsia="Times New Roman"/>
                <w:b/>
                <w:bCs/>
                <w:color w:val="000000"/>
                <w:lang w:eastAsia="es-MX"/>
              </w:rPr>
              <w:t>4.6 Teléfono (con clave lada):</w:t>
            </w:r>
          </w:p>
        </w:tc>
        <w:tc>
          <w:tcPr>
            <w:tcW w:w="721" w:type="dxa"/>
            <w:gridSpan w:val="2"/>
            <w:shd w:val="clear" w:color="000000" w:fill="FFFFFF"/>
          </w:tcPr>
          <w:p w14:paraId="7BE21C89" w14:textId="77777777" w:rsidR="00EC63B6" w:rsidRPr="00E1388F" w:rsidRDefault="00EC63B6" w:rsidP="00E1388F">
            <w:pPr>
              <w:spacing w:after="0" w:line="240" w:lineRule="auto"/>
              <w:rPr>
                <w:rFonts w:eastAsia="Times New Roman"/>
                <w:color w:val="000000"/>
                <w:lang w:eastAsia="es-MX"/>
              </w:rPr>
            </w:pPr>
            <w:r w:rsidRPr="00E1388F">
              <w:rPr>
                <w:rFonts w:eastAsia="Times New Roman"/>
                <w:color w:val="000000"/>
                <w:lang w:eastAsia="es-MX"/>
              </w:rPr>
              <w:t> </w:t>
            </w:r>
            <w:r w:rsidR="003E6E57">
              <w:rPr>
                <w:rFonts w:eastAsia="Times New Roman"/>
                <w:color w:val="000000"/>
                <w:lang w:eastAsia="es-MX"/>
              </w:rPr>
              <w:t>Lada</w:t>
            </w:r>
            <w:r w:rsidR="00B44170">
              <w:rPr>
                <w:rFonts w:eastAsia="Times New Roman"/>
                <w:color w:val="000000"/>
                <w:lang w:eastAsia="es-MX"/>
              </w:rPr>
              <w:t xml:space="preserve"> 667</w:t>
            </w:r>
          </w:p>
        </w:tc>
        <w:tc>
          <w:tcPr>
            <w:tcW w:w="6280" w:type="dxa"/>
            <w:gridSpan w:val="3"/>
            <w:shd w:val="clear" w:color="000000" w:fill="FFFFFF"/>
          </w:tcPr>
          <w:p w14:paraId="2C6DAD14" w14:textId="77777777" w:rsidR="0092630B" w:rsidRPr="00E1388F" w:rsidRDefault="002D0825" w:rsidP="00E1388F">
            <w:pPr>
              <w:spacing w:after="0" w:line="240" w:lineRule="auto"/>
              <w:rPr>
                <w:rFonts w:eastAsia="Times New Roman"/>
                <w:color w:val="000000"/>
                <w:lang w:eastAsia="es-MX"/>
              </w:rPr>
            </w:pPr>
            <w:r>
              <w:rPr>
                <w:rFonts w:eastAsia="Times New Roman"/>
                <w:color w:val="000000"/>
                <w:lang w:eastAsia="es-MX"/>
              </w:rPr>
              <w:t>Teléfono y</w:t>
            </w:r>
            <w:r w:rsidR="003E6E57">
              <w:rPr>
                <w:rFonts w:eastAsia="Times New Roman"/>
                <w:color w:val="000000"/>
                <w:lang w:eastAsia="es-MX"/>
              </w:rPr>
              <w:t>/o extensión</w:t>
            </w:r>
            <w:r w:rsidR="006511A0">
              <w:rPr>
                <w:rFonts w:eastAsia="Times New Roman"/>
                <w:color w:val="000000"/>
                <w:lang w:eastAsia="es-MX"/>
              </w:rPr>
              <w:t>: 6677138172</w:t>
            </w:r>
          </w:p>
        </w:tc>
      </w:tr>
    </w:tbl>
    <w:p w14:paraId="3851824F" w14:textId="77777777" w:rsidR="00EC63B6" w:rsidRDefault="00EC63B6"/>
    <w:tbl>
      <w:tblPr>
        <w:tblW w:w="10353"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4A0" w:firstRow="1" w:lastRow="0" w:firstColumn="1" w:lastColumn="0" w:noHBand="0" w:noVBand="1"/>
      </w:tblPr>
      <w:tblGrid>
        <w:gridCol w:w="1331"/>
        <w:gridCol w:w="717"/>
        <w:gridCol w:w="295"/>
        <w:gridCol w:w="1313"/>
        <w:gridCol w:w="2057"/>
        <w:gridCol w:w="261"/>
        <w:gridCol w:w="1777"/>
        <w:gridCol w:w="179"/>
        <w:gridCol w:w="2423"/>
      </w:tblGrid>
      <w:tr w:rsidR="00690BCC" w:rsidRPr="004179E0" w14:paraId="7E6C563C" w14:textId="77777777" w:rsidTr="0099682A">
        <w:trPr>
          <w:trHeight w:val="305"/>
          <w:tblCellSpacing w:w="20" w:type="dxa"/>
        </w:trPr>
        <w:tc>
          <w:tcPr>
            <w:tcW w:w="10273" w:type="dxa"/>
            <w:gridSpan w:val="9"/>
            <w:shd w:val="clear" w:color="000000" w:fill="8B1D31"/>
            <w:noWrap/>
            <w:hideMark/>
          </w:tcPr>
          <w:p w14:paraId="2A00DEB4" w14:textId="77777777" w:rsidR="00E1388F" w:rsidRPr="004179E0" w:rsidRDefault="00E1388F" w:rsidP="00E1388F">
            <w:pPr>
              <w:spacing w:after="0" w:line="240" w:lineRule="auto"/>
              <w:rPr>
                <w:rFonts w:eastAsia="Times New Roman"/>
                <w:b/>
                <w:bCs/>
                <w:color w:val="FFFFFF"/>
                <w:lang w:eastAsia="es-MX"/>
              </w:rPr>
            </w:pPr>
            <w:r w:rsidRPr="004179E0">
              <w:rPr>
                <w:rFonts w:eastAsia="Times New Roman"/>
                <w:b/>
                <w:bCs/>
                <w:color w:val="FFFFFF"/>
                <w:lang w:eastAsia="es-MX"/>
              </w:rPr>
              <w:t>5. Identificación del (os) Programa(S)</w:t>
            </w:r>
          </w:p>
        </w:tc>
      </w:tr>
      <w:tr w:rsidR="003E6E57" w:rsidRPr="00E1388F" w14:paraId="386F42EF" w14:textId="77777777" w:rsidTr="0099682A">
        <w:trPr>
          <w:trHeight w:val="397"/>
          <w:tblCellSpacing w:w="20" w:type="dxa"/>
        </w:trPr>
        <w:tc>
          <w:tcPr>
            <w:tcW w:w="5653" w:type="dxa"/>
            <w:gridSpan w:val="5"/>
            <w:shd w:val="clear" w:color="000000" w:fill="FFFFFF"/>
            <w:noWrap/>
            <w:hideMark/>
          </w:tcPr>
          <w:p w14:paraId="1D353A81" w14:textId="77777777" w:rsidR="003E6E57" w:rsidRPr="00E1388F" w:rsidRDefault="003E6E57" w:rsidP="00E1388F">
            <w:pPr>
              <w:spacing w:after="0" w:line="240" w:lineRule="auto"/>
              <w:rPr>
                <w:rFonts w:eastAsia="Times New Roman"/>
                <w:color w:val="000000"/>
                <w:lang w:eastAsia="es-MX"/>
              </w:rPr>
            </w:pPr>
            <w:r w:rsidRPr="004179E0">
              <w:rPr>
                <w:rFonts w:eastAsia="Times New Roman"/>
                <w:b/>
                <w:bCs/>
                <w:color w:val="000000"/>
                <w:lang w:eastAsia="es-MX"/>
              </w:rPr>
              <w:t>5.1 Nombre del (os) Programa(s) Evaluado(s):</w:t>
            </w:r>
            <w:r w:rsidR="00B44170">
              <w:rPr>
                <w:rFonts w:eastAsia="Times New Roman"/>
                <w:color w:val="000000"/>
                <w:lang w:eastAsia="es-MX"/>
              </w:rPr>
              <w:t xml:space="preserve"> Fondo de Aportaciones para los Servicios de Salud FASSA</w:t>
            </w:r>
          </w:p>
        </w:tc>
        <w:tc>
          <w:tcPr>
            <w:tcW w:w="4580" w:type="dxa"/>
            <w:gridSpan w:val="4"/>
            <w:shd w:val="clear" w:color="000000" w:fill="FFFFFF"/>
            <w:noWrap/>
            <w:hideMark/>
          </w:tcPr>
          <w:p w14:paraId="1E122056" w14:textId="77777777" w:rsidR="003E6E57" w:rsidRPr="00E1388F" w:rsidRDefault="003E6E57" w:rsidP="00E1388F">
            <w:pPr>
              <w:spacing w:after="0" w:line="240" w:lineRule="auto"/>
              <w:rPr>
                <w:rFonts w:eastAsia="Times New Roman"/>
                <w:color w:val="000000"/>
                <w:lang w:eastAsia="es-MX"/>
              </w:rPr>
            </w:pPr>
            <w:r>
              <w:rPr>
                <w:rFonts w:eastAsia="Times New Roman"/>
                <w:color w:val="000000"/>
                <w:lang w:eastAsia="es-MX"/>
              </w:rPr>
              <w:t>Agregar nombre del programa que fue evaluado</w:t>
            </w:r>
            <w:r w:rsidR="006511A0">
              <w:rPr>
                <w:rFonts w:eastAsia="Times New Roman"/>
                <w:color w:val="000000"/>
                <w:lang w:eastAsia="es-MX"/>
              </w:rPr>
              <w:t xml:space="preserve">: </w:t>
            </w:r>
            <w:r w:rsidR="00B44170" w:rsidRPr="00B44170">
              <w:rPr>
                <w:rFonts w:eastAsia="Times New Roman"/>
                <w:color w:val="000000"/>
                <w:lang w:eastAsia="es-MX"/>
              </w:rPr>
              <w:t>Fondo de Aportaciones para los Servicios de Salud FASSA</w:t>
            </w:r>
          </w:p>
        </w:tc>
      </w:tr>
      <w:tr w:rsidR="00690BCC" w:rsidRPr="00E1388F" w14:paraId="1D8D2411" w14:textId="77777777" w:rsidTr="0099682A">
        <w:trPr>
          <w:trHeight w:val="397"/>
          <w:tblCellSpacing w:w="20" w:type="dxa"/>
        </w:trPr>
        <w:tc>
          <w:tcPr>
            <w:tcW w:w="1271" w:type="dxa"/>
            <w:shd w:val="clear" w:color="000000" w:fill="FFFFFF"/>
            <w:noWrap/>
            <w:hideMark/>
          </w:tcPr>
          <w:p w14:paraId="1F678D70" w14:textId="77777777" w:rsidR="00E1388F" w:rsidRPr="00E1388F" w:rsidRDefault="00E1388F" w:rsidP="00E1388F">
            <w:pPr>
              <w:spacing w:after="0" w:line="240" w:lineRule="auto"/>
              <w:rPr>
                <w:rFonts w:eastAsia="Times New Roman"/>
                <w:color w:val="000000"/>
                <w:lang w:eastAsia="es-MX"/>
              </w:rPr>
            </w:pPr>
            <w:r w:rsidRPr="004179E0">
              <w:rPr>
                <w:rFonts w:eastAsia="Times New Roman"/>
                <w:b/>
                <w:bCs/>
                <w:color w:val="000000"/>
                <w:lang w:eastAsia="es-MX"/>
              </w:rPr>
              <w:t>5.2 Siglas:</w:t>
            </w:r>
            <w:r w:rsidR="006511A0">
              <w:rPr>
                <w:rFonts w:eastAsia="Times New Roman"/>
                <w:color w:val="000000"/>
                <w:lang w:eastAsia="es-MX"/>
              </w:rPr>
              <w:t xml:space="preserve"> FASSA</w:t>
            </w:r>
          </w:p>
        </w:tc>
        <w:tc>
          <w:tcPr>
            <w:tcW w:w="8962" w:type="dxa"/>
            <w:gridSpan w:val="8"/>
            <w:shd w:val="clear" w:color="000000" w:fill="FFFFFF"/>
            <w:noWrap/>
            <w:hideMark/>
          </w:tcPr>
          <w:p w14:paraId="62A9C785" w14:textId="77777777" w:rsidR="00E1388F" w:rsidRDefault="003E6E57" w:rsidP="003E6E57">
            <w:pPr>
              <w:jc w:val="both"/>
              <w:rPr>
                <w:rFonts w:cstheme="minorHAnsi"/>
              </w:rPr>
            </w:pPr>
            <w:r w:rsidRPr="004972C8">
              <w:rPr>
                <w:rFonts w:cstheme="minorHAnsi"/>
              </w:rPr>
              <w:t>Proporcionar las siglas que identifican el</w:t>
            </w:r>
            <w:r>
              <w:rPr>
                <w:rFonts w:cstheme="minorHAnsi"/>
              </w:rPr>
              <w:t xml:space="preserve"> (los) programa(s) evaluado(s).</w:t>
            </w:r>
          </w:p>
          <w:p w14:paraId="26581E3F" w14:textId="77777777" w:rsidR="00B44170" w:rsidRPr="003E6E57" w:rsidRDefault="00B44170" w:rsidP="003E6E57">
            <w:pPr>
              <w:jc w:val="both"/>
              <w:rPr>
                <w:rFonts w:cstheme="minorHAnsi"/>
              </w:rPr>
            </w:pPr>
            <w:r>
              <w:rPr>
                <w:rFonts w:cstheme="minorHAnsi"/>
              </w:rPr>
              <w:t>FASSA</w:t>
            </w:r>
          </w:p>
        </w:tc>
      </w:tr>
      <w:tr w:rsidR="00690BCC" w:rsidRPr="00E1388F" w14:paraId="6BED8CF7" w14:textId="77777777" w:rsidTr="0099682A">
        <w:trPr>
          <w:trHeight w:val="397"/>
          <w:tblCellSpacing w:w="20" w:type="dxa"/>
        </w:trPr>
        <w:tc>
          <w:tcPr>
            <w:tcW w:w="5914" w:type="dxa"/>
            <w:gridSpan w:val="6"/>
            <w:shd w:val="clear" w:color="000000" w:fill="FFFFFF"/>
            <w:noWrap/>
            <w:hideMark/>
          </w:tcPr>
          <w:p w14:paraId="4AAD5719" w14:textId="77777777" w:rsidR="00E1388F" w:rsidRPr="00E1388F" w:rsidRDefault="00E1388F" w:rsidP="00E1388F">
            <w:pPr>
              <w:spacing w:after="0" w:line="240" w:lineRule="auto"/>
              <w:rPr>
                <w:rFonts w:eastAsia="Times New Roman"/>
                <w:color w:val="000000"/>
                <w:lang w:eastAsia="es-MX"/>
              </w:rPr>
            </w:pPr>
            <w:r w:rsidRPr="0099682A">
              <w:rPr>
                <w:rFonts w:eastAsia="Times New Roman"/>
                <w:b/>
                <w:bCs/>
                <w:color w:val="000000"/>
                <w:lang w:eastAsia="es-MX"/>
              </w:rPr>
              <w:t>5.3 Ente Público Coordinador del (os) Programa(s):</w:t>
            </w:r>
            <w:r w:rsidR="00B44170">
              <w:rPr>
                <w:rFonts w:eastAsia="Times New Roman"/>
                <w:color w:val="000000"/>
                <w:lang w:eastAsia="es-MX"/>
              </w:rPr>
              <w:t xml:space="preserve"> Servicios de Salud de Sinaloa</w:t>
            </w:r>
          </w:p>
        </w:tc>
        <w:tc>
          <w:tcPr>
            <w:tcW w:w="4319" w:type="dxa"/>
            <w:gridSpan w:val="3"/>
            <w:shd w:val="clear" w:color="000000" w:fill="FFFFFF"/>
            <w:noWrap/>
            <w:hideMark/>
          </w:tcPr>
          <w:p w14:paraId="76F33963" w14:textId="77777777" w:rsidR="00E1388F" w:rsidRPr="00E1388F" w:rsidRDefault="00E1388F" w:rsidP="00E1388F">
            <w:pPr>
              <w:spacing w:after="0" w:line="240" w:lineRule="auto"/>
              <w:rPr>
                <w:rFonts w:eastAsia="Times New Roman"/>
                <w:color w:val="000000"/>
                <w:lang w:eastAsia="es-MX"/>
              </w:rPr>
            </w:pPr>
            <w:r w:rsidRPr="00E1388F">
              <w:rPr>
                <w:rFonts w:eastAsia="Times New Roman"/>
                <w:color w:val="000000"/>
                <w:lang w:eastAsia="es-MX"/>
              </w:rPr>
              <w:t> </w:t>
            </w:r>
            <w:r w:rsidR="003E6E57">
              <w:rPr>
                <w:rFonts w:eastAsia="Times New Roman"/>
                <w:color w:val="000000"/>
                <w:lang w:eastAsia="es-MX"/>
              </w:rPr>
              <w:t>Proporcionar nombre del ente a cargo del programa</w:t>
            </w:r>
            <w:r w:rsidR="00B44170">
              <w:t xml:space="preserve"> </w:t>
            </w:r>
            <w:r w:rsidR="00B44170" w:rsidRPr="00B44170">
              <w:rPr>
                <w:rFonts w:eastAsia="Times New Roman"/>
                <w:color w:val="000000"/>
                <w:lang w:eastAsia="es-MX"/>
              </w:rPr>
              <w:t>Servicios de Salud de Sinaloa</w:t>
            </w:r>
          </w:p>
        </w:tc>
      </w:tr>
      <w:tr w:rsidR="00690BCC" w:rsidRPr="00E1388F" w14:paraId="75C75DF4" w14:textId="77777777" w:rsidTr="0099682A">
        <w:trPr>
          <w:trHeight w:val="397"/>
          <w:tblCellSpacing w:w="20" w:type="dxa"/>
        </w:trPr>
        <w:tc>
          <w:tcPr>
            <w:tcW w:w="10273" w:type="dxa"/>
            <w:gridSpan w:val="9"/>
            <w:shd w:val="clear" w:color="000000" w:fill="FFFFFF"/>
            <w:noWrap/>
            <w:hideMark/>
          </w:tcPr>
          <w:p w14:paraId="1345BF44" w14:textId="662B63B8" w:rsidR="00E1388F" w:rsidRPr="00E1388F" w:rsidRDefault="00E1388F" w:rsidP="00E1388F">
            <w:pPr>
              <w:spacing w:after="0" w:line="240" w:lineRule="auto"/>
              <w:rPr>
                <w:rFonts w:eastAsia="Times New Roman"/>
                <w:color w:val="000000"/>
                <w:lang w:eastAsia="es-MX"/>
              </w:rPr>
            </w:pPr>
            <w:r w:rsidRPr="0099682A">
              <w:rPr>
                <w:rFonts w:eastAsia="Times New Roman"/>
                <w:b/>
                <w:bCs/>
                <w:color w:val="000000"/>
                <w:lang w:eastAsia="es-MX"/>
              </w:rPr>
              <w:t>5.4 Poder Público al que Pertenece(n) el(los) Programa(s):</w:t>
            </w:r>
            <w:r w:rsidR="003E6E57">
              <w:rPr>
                <w:rFonts w:eastAsia="Times New Roman"/>
                <w:color w:val="000000"/>
                <w:lang w:eastAsia="es-MX"/>
              </w:rPr>
              <w:t xml:space="preserve">  Seleccionar con una (X</w:t>
            </w:r>
            <w:r w:rsidR="008975B1">
              <w:rPr>
                <w:rFonts w:eastAsia="Times New Roman"/>
                <w:color w:val="000000"/>
                <w:lang w:eastAsia="es-MX"/>
              </w:rPr>
              <w:t>), el</w:t>
            </w:r>
            <w:r w:rsidR="003E6E57">
              <w:rPr>
                <w:rFonts w:eastAsia="Times New Roman"/>
                <w:color w:val="000000"/>
                <w:lang w:eastAsia="es-MX"/>
              </w:rPr>
              <w:t xml:space="preserve"> correspondiente</w:t>
            </w:r>
          </w:p>
        </w:tc>
      </w:tr>
      <w:tr w:rsidR="00EC63B6" w:rsidRPr="00E1388F" w14:paraId="3CB12072" w14:textId="77777777" w:rsidTr="0099682A">
        <w:trPr>
          <w:trHeight w:val="397"/>
          <w:tblCellSpacing w:w="20" w:type="dxa"/>
        </w:trPr>
        <w:tc>
          <w:tcPr>
            <w:tcW w:w="2283" w:type="dxa"/>
            <w:gridSpan w:val="3"/>
            <w:shd w:val="clear" w:color="000000" w:fill="FFFFFF"/>
            <w:noWrap/>
            <w:hideMark/>
          </w:tcPr>
          <w:p w14:paraId="7C6C5A10" w14:textId="77777777" w:rsidR="00E1388F" w:rsidRPr="00E1388F" w:rsidRDefault="00E1388F" w:rsidP="00E1388F">
            <w:pPr>
              <w:spacing w:after="0" w:line="240" w:lineRule="auto"/>
              <w:rPr>
                <w:rFonts w:eastAsia="Times New Roman"/>
                <w:color w:val="000000"/>
                <w:lang w:eastAsia="es-MX"/>
              </w:rPr>
            </w:pPr>
            <w:r w:rsidRPr="00E1388F">
              <w:rPr>
                <w:rFonts w:eastAsia="Times New Roman"/>
                <w:color w:val="000000"/>
                <w:lang w:eastAsia="es-MX"/>
              </w:rPr>
              <w:t>Poder Ejecutivo:</w:t>
            </w:r>
            <w:r w:rsidR="00B44170">
              <w:rPr>
                <w:rFonts w:eastAsia="Times New Roman"/>
                <w:color w:val="000000"/>
                <w:lang w:eastAsia="es-MX"/>
              </w:rPr>
              <w:t xml:space="preserve"> (X)</w:t>
            </w:r>
          </w:p>
        </w:tc>
        <w:tc>
          <w:tcPr>
            <w:tcW w:w="3591" w:type="dxa"/>
            <w:gridSpan w:val="3"/>
            <w:shd w:val="clear" w:color="000000" w:fill="FFFFFF"/>
            <w:noWrap/>
            <w:hideMark/>
          </w:tcPr>
          <w:p w14:paraId="63C824E7" w14:textId="77777777" w:rsidR="00E1388F" w:rsidRPr="00E1388F" w:rsidRDefault="00E1388F" w:rsidP="00E1388F">
            <w:pPr>
              <w:spacing w:after="0" w:line="240" w:lineRule="auto"/>
              <w:rPr>
                <w:rFonts w:eastAsia="Times New Roman"/>
                <w:color w:val="000000"/>
                <w:lang w:eastAsia="es-MX"/>
              </w:rPr>
            </w:pPr>
            <w:r w:rsidRPr="00E1388F">
              <w:rPr>
                <w:rFonts w:eastAsia="Times New Roman"/>
                <w:color w:val="000000"/>
                <w:lang w:eastAsia="es-MX"/>
              </w:rPr>
              <w:t>Poder Legislativo:</w:t>
            </w:r>
          </w:p>
        </w:tc>
        <w:tc>
          <w:tcPr>
            <w:tcW w:w="1737" w:type="dxa"/>
            <w:shd w:val="clear" w:color="000000" w:fill="FFFFFF"/>
            <w:noWrap/>
            <w:hideMark/>
          </w:tcPr>
          <w:p w14:paraId="103C8CF6" w14:textId="77777777" w:rsidR="00E1388F" w:rsidRPr="00E1388F" w:rsidRDefault="00E1388F" w:rsidP="00E1388F">
            <w:pPr>
              <w:spacing w:after="0" w:line="240" w:lineRule="auto"/>
              <w:rPr>
                <w:rFonts w:eastAsia="Times New Roman"/>
                <w:color w:val="000000"/>
                <w:lang w:eastAsia="es-MX"/>
              </w:rPr>
            </w:pPr>
            <w:r w:rsidRPr="00E1388F">
              <w:rPr>
                <w:rFonts w:eastAsia="Times New Roman"/>
                <w:color w:val="000000"/>
                <w:lang w:eastAsia="es-MX"/>
              </w:rPr>
              <w:t>Poder Judicial:</w:t>
            </w:r>
          </w:p>
        </w:tc>
        <w:tc>
          <w:tcPr>
            <w:tcW w:w="2542" w:type="dxa"/>
            <w:gridSpan w:val="2"/>
            <w:shd w:val="clear" w:color="000000" w:fill="FFFFFF"/>
            <w:noWrap/>
            <w:hideMark/>
          </w:tcPr>
          <w:p w14:paraId="7DF86113" w14:textId="77777777" w:rsidR="00E1388F" w:rsidRPr="00E1388F" w:rsidRDefault="00E1388F" w:rsidP="00E1388F">
            <w:pPr>
              <w:spacing w:after="0" w:line="240" w:lineRule="auto"/>
              <w:rPr>
                <w:rFonts w:eastAsia="Times New Roman"/>
                <w:color w:val="000000"/>
                <w:lang w:eastAsia="es-MX"/>
              </w:rPr>
            </w:pPr>
            <w:r w:rsidRPr="00E1388F">
              <w:rPr>
                <w:rFonts w:eastAsia="Times New Roman"/>
                <w:color w:val="000000"/>
                <w:lang w:eastAsia="es-MX"/>
              </w:rPr>
              <w:t>Ente Autónomo:</w:t>
            </w:r>
          </w:p>
        </w:tc>
      </w:tr>
      <w:tr w:rsidR="00690BCC" w:rsidRPr="00E1388F" w14:paraId="314DCBDB" w14:textId="77777777" w:rsidTr="0099682A">
        <w:trPr>
          <w:trHeight w:val="473"/>
          <w:tblCellSpacing w:w="20" w:type="dxa"/>
        </w:trPr>
        <w:tc>
          <w:tcPr>
            <w:tcW w:w="10273" w:type="dxa"/>
            <w:gridSpan w:val="9"/>
            <w:shd w:val="clear" w:color="auto" w:fill="F2F2F2" w:themeFill="background1" w:themeFillShade="F2"/>
            <w:noWrap/>
            <w:hideMark/>
          </w:tcPr>
          <w:p w14:paraId="723689B5" w14:textId="77777777" w:rsidR="00E1388F" w:rsidRPr="00E1388F" w:rsidRDefault="00E1388F" w:rsidP="00E1388F">
            <w:pPr>
              <w:spacing w:after="0" w:line="240" w:lineRule="auto"/>
              <w:rPr>
                <w:rFonts w:eastAsia="Times New Roman"/>
                <w:color w:val="000000"/>
                <w:lang w:eastAsia="es-MX"/>
              </w:rPr>
            </w:pPr>
            <w:r w:rsidRPr="0099682A">
              <w:rPr>
                <w:rFonts w:eastAsia="Times New Roman"/>
                <w:b/>
                <w:bCs/>
                <w:color w:val="000000"/>
                <w:lang w:eastAsia="es-MX"/>
              </w:rPr>
              <w:t xml:space="preserve">5.5 </w:t>
            </w:r>
            <w:r w:rsidR="00690BCC" w:rsidRPr="0099682A">
              <w:rPr>
                <w:rFonts w:eastAsia="Times New Roman"/>
                <w:b/>
                <w:bCs/>
                <w:color w:val="000000"/>
                <w:lang w:eastAsia="es-MX"/>
              </w:rPr>
              <w:t>Ámbito</w:t>
            </w:r>
            <w:r w:rsidRPr="0099682A">
              <w:rPr>
                <w:rFonts w:eastAsia="Times New Roman"/>
                <w:b/>
                <w:bCs/>
                <w:color w:val="000000"/>
                <w:lang w:eastAsia="es-MX"/>
              </w:rPr>
              <w:t xml:space="preserve"> Gubernamental al que Pertenece(n) el(los) Programas):</w:t>
            </w:r>
            <w:r w:rsidR="003E6E57">
              <w:rPr>
                <w:rFonts w:eastAsia="Times New Roman"/>
                <w:color w:val="000000"/>
                <w:lang w:eastAsia="es-MX"/>
              </w:rPr>
              <w:t xml:space="preserve"> Seleccionar con una (X), el correspondiente</w:t>
            </w:r>
          </w:p>
        </w:tc>
      </w:tr>
      <w:tr w:rsidR="00690BCC" w:rsidRPr="00E1388F" w14:paraId="1CB0F91B" w14:textId="77777777" w:rsidTr="0099682A">
        <w:trPr>
          <w:trHeight w:val="397"/>
          <w:tblCellSpacing w:w="20" w:type="dxa"/>
        </w:trPr>
        <w:tc>
          <w:tcPr>
            <w:tcW w:w="3596" w:type="dxa"/>
            <w:gridSpan w:val="4"/>
            <w:shd w:val="clear" w:color="000000" w:fill="FFFFFF"/>
            <w:noWrap/>
            <w:hideMark/>
          </w:tcPr>
          <w:p w14:paraId="10926801" w14:textId="77777777" w:rsidR="00E1388F" w:rsidRPr="00E1388F" w:rsidRDefault="00E1388F" w:rsidP="00E1388F">
            <w:pPr>
              <w:spacing w:after="0" w:line="240" w:lineRule="auto"/>
              <w:rPr>
                <w:rFonts w:eastAsia="Times New Roman"/>
                <w:color w:val="000000"/>
                <w:lang w:eastAsia="es-MX"/>
              </w:rPr>
            </w:pPr>
            <w:r w:rsidRPr="00E1388F">
              <w:rPr>
                <w:rFonts w:eastAsia="Times New Roman"/>
                <w:color w:val="000000"/>
                <w:lang w:eastAsia="es-MX"/>
              </w:rPr>
              <w:t>Federal:</w:t>
            </w:r>
            <w:r w:rsidR="00B44170">
              <w:rPr>
                <w:rFonts w:eastAsia="Times New Roman"/>
                <w:color w:val="000000"/>
                <w:lang w:eastAsia="es-MX"/>
              </w:rPr>
              <w:t xml:space="preserve"> (X)</w:t>
            </w:r>
          </w:p>
        </w:tc>
        <w:tc>
          <w:tcPr>
            <w:tcW w:w="4055" w:type="dxa"/>
            <w:gridSpan w:val="3"/>
            <w:shd w:val="clear" w:color="000000" w:fill="FFFFFF"/>
            <w:noWrap/>
            <w:hideMark/>
          </w:tcPr>
          <w:p w14:paraId="5BACA0DD" w14:textId="77777777" w:rsidR="00E1388F" w:rsidRPr="00E1388F" w:rsidRDefault="00E1388F" w:rsidP="00E1388F">
            <w:pPr>
              <w:spacing w:after="0" w:line="240" w:lineRule="auto"/>
              <w:rPr>
                <w:rFonts w:eastAsia="Times New Roman"/>
                <w:color w:val="000000"/>
                <w:lang w:eastAsia="es-MX"/>
              </w:rPr>
            </w:pPr>
            <w:r w:rsidRPr="00E1388F">
              <w:rPr>
                <w:rFonts w:eastAsia="Times New Roman"/>
                <w:color w:val="000000"/>
                <w:lang w:eastAsia="es-MX"/>
              </w:rPr>
              <w:t>Estatal:</w:t>
            </w:r>
          </w:p>
        </w:tc>
        <w:tc>
          <w:tcPr>
            <w:tcW w:w="2542" w:type="dxa"/>
            <w:gridSpan w:val="2"/>
            <w:shd w:val="clear" w:color="000000" w:fill="FFFFFF"/>
            <w:noWrap/>
            <w:hideMark/>
          </w:tcPr>
          <w:p w14:paraId="08A42876" w14:textId="77777777" w:rsidR="00E1388F" w:rsidRPr="00E1388F" w:rsidRDefault="00E1388F" w:rsidP="00E1388F">
            <w:pPr>
              <w:spacing w:after="0" w:line="240" w:lineRule="auto"/>
              <w:rPr>
                <w:rFonts w:eastAsia="Times New Roman"/>
                <w:color w:val="000000"/>
                <w:lang w:eastAsia="es-MX"/>
              </w:rPr>
            </w:pPr>
            <w:r w:rsidRPr="00E1388F">
              <w:rPr>
                <w:rFonts w:eastAsia="Times New Roman"/>
                <w:color w:val="000000"/>
                <w:lang w:eastAsia="es-MX"/>
              </w:rPr>
              <w:t>Local:</w:t>
            </w:r>
          </w:p>
        </w:tc>
      </w:tr>
      <w:tr w:rsidR="00690BCC" w:rsidRPr="00E1388F" w14:paraId="6597006D" w14:textId="77777777" w:rsidTr="0099682A">
        <w:trPr>
          <w:trHeight w:val="519"/>
          <w:tblCellSpacing w:w="20" w:type="dxa"/>
        </w:trPr>
        <w:tc>
          <w:tcPr>
            <w:tcW w:w="10273" w:type="dxa"/>
            <w:gridSpan w:val="9"/>
            <w:shd w:val="clear" w:color="000000" w:fill="FFFFFF"/>
            <w:noWrap/>
            <w:hideMark/>
          </w:tcPr>
          <w:p w14:paraId="4C514A2A" w14:textId="77777777" w:rsidR="00E1388F" w:rsidRPr="00E1388F" w:rsidRDefault="00E1388F" w:rsidP="00E1388F">
            <w:pPr>
              <w:spacing w:after="0" w:line="240" w:lineRule="auto"/>
              <w:rPr>
                <w:rFonts w:eastAsia="Times New Roman"/>
                <w:color w:val="000000"/>
                <w:lang w:eastAsia="es-MX"/>
              </w:rPr>
            </w:pPr>
            <w:r w:rsidRPr="0099682A">
              <w:rPr>
                <w:rFonts w:eastAsia="Times New Roman"/>
                <w:b/>
                <w:bCs/>
                <w:color w:val="000000"/>
                <w:lang w:eastAsia="es-MX"/>
              </w:rPr>
              <w:t>5.6 Nombre de la(s) Unidad(es) Administrativa(s) y de (los) titular(es) a cargo del (los) Programa(s):</w:t>
            </w:r>
            <w:r w:rsidR="00601986">
              <w:rPr>
                <w:rFonts w:eastAsia="Times New Roman"/>
                <w:color w:val="000000"/>
                <w:lang w:eastAsia="es-MX"/>
              </w:rPr>
              <w:t xml:space="preserve"> </w:t>
            </w:r>
            <w:r w:rsidR="00B44170">
              <w:rPr>
                <w:rFonts w:eastAsia="Times New Roman"/>
                <w:color w:val="000000"/>
                <w:lang w:eastAsia="es-MX"/>
              </w:rPr>
              <w:t>Servicios de Salud de Sinaloa, Armando Enrique Apodaca Soto</w:t>
            </w:r>
          </w:p>
        </w:tc>
      </w:tr>
      <w:tr w:rsidR="00690BCC" w:rsidRPr="00E1388F" w14:paraId="0BD2C43D" w14:textId="77777777" w:rsidTr="0099682A">
        <w:trPr>
          <w:trHeight w:val="519"/>
          <w:tblCellSpacing w:w="20" w:type="dxa"/>
        </w:trPr>
        <w:tc>
          <w:tcPr>
            <w:tcW w:w="10273" w:type="dxa"/>
            <w:gridSpan w:val="9"/>
            <w:shd w:val="clear" w:color="000000" w:fill="FFFFFF"/>
            <w:noWrap/>
            <w:hideMark/>
          </w:tcPr>
          <w:p w14:paraId="6CF84743" w14:textId="77777777" w:rsidR="00E1388F" w:rsidRPr="00E1388F" w:rsidRDefault="00E1388F" w:rsidP="00E1388F">
            <w:pPr>
              <w:spacing w:after="0" w:line="240" w:lineRule="auto"/>
              <w:rPr>
                <w:rFonts w:eastAsia="Times New Roman"/>
                <w:color w:val="000000"/>
                <w:lang w:eastAsia="es-MX"/>
              </w:rPr>
            </w:pPr>
            <w:r w:rsidRPr="0099682A">
              <w:rPr>
                <w:rFonts w:eastAsia="Times New Roman"/>
                <w:b/>
                <w:bCs/>
                <w:color w:val="000000"/>
                <w:lang w:eastAsia="es-MX"/>
              </w:rPr>
              <w:t>5.6.1 Nombre(s) de la(s) Unidad(es) Administrativa(s) a cargo de (los) Programa(s):</w:t>
            </w:r>
            <w:r w:rsidR="00601986">
              <w:rPr>
                <w:rFonts w:eastAsia="Times New Roman"/>
                <w:color w:val="000000"/>
                <w:lang w:eastAsia="es-MX"/>
              </w:rPr>
              <w:t xml:space="preserve"> </w:t>
            </w:r>
            <w:r w:rsidR="00B44170">
              <w:rPr>
                <w:rFonts w:eastAsia="Times New Roman"/>
                <w:color w:val="000000"/>
                <w:lang w:eastAsia="es-MX"/>
              </w:rPr>
              <w:t>Dirección Administrativas de los Servicios de Salud de Sinaloa.</w:t>
            </w:r>
          </w:p>
        </w:tc>
      </w:tr>
      <w:tr w:rsidR="00690BCC" w:rsidRPr="00E1388F" w14:paraId="4E314944" w14:textId="77777777" w:rsidTr="0099682A">
        <w:trPr>
          <w:trHeight w:val="687"/>
          <w:tblCellSpacing w:w="20" w:type="dxa"/>
        </w:trPr>
        <w:tc>
          <w:tcPr>
            <w:tcW w:w="10273" w:type="dxa"/>
            <w:gridSpan w:val="9"/>
            <w:shd w:val="clear" w:color="000000" w:fill="F2F2F2"/>
            <w:hideMark/>
          </w:tcPr>
          <w:p w14:paraId="2FBF050B" w14:textId="18F4407F" w:rsidR="00B44170" w:rsidRPr="0099682A" w:rsidRDefault="00E1388F" w:rsidP="00E1388F">
            <w:pPr>
              <w:spacing w:after="0" w:line="240" w:lineRule="auto"/>
              <w:rPr>
                <w:rFonts w:eastAsia="Times New Roman"/>
                <w:b/>
                <w:bCs/>
                <w:color w:val="000000"/>
                <w:lang w:eastAsia="es-MX"/>
              </w:rPr>
            </w:pPr>
            <w:r w:rsidRPr="0099682A">
              <w:rPr>
                <w:rFonts w:eastAsia="Times New Roman"/>
                <w:b/>
                <w:bCs/>
                <w:color w:val="000000"/>
                <w:lang w:eastAsia="es-MX"/>
              </w:rPr>
              <w:t xml:space="preserve">5.6.2 Nombre(s) de (los) Titular (es) de la(s) Unidad(es) Administrativa(s) a Cargo de (los) Programa(s) (nombre completo, correo </w:t>
            </w:r>
            <w:r w:rsidR="00690BCC" w:rsidRPr="0099682A">
              <w:rPr>
                <w:rFonts w:eastAsia="Times New Roman"/>
                <w:b/>
                <w:bCs/>
                <w:color w:val="000000"/>
                <w:lang w:eastAsia="es-MX"/>
              </w:rPr>
              <w:t>electrónico</w:t>
            </w:r>
            <w:r w:rsidRPr="0099682A">
              <w:rPr>
                <w:rFonts w:eastAsia="Times New Roman"/>
                <w:b/>
                <w:bCs/>
                <w:color w:val="000000"/>
                <w:lang w:eastAsia="es-MX"/>
              </w:rPr>
              <w:t xml:space="preserve"> y teléfono con clave lada</w:t>
            </w:r>
            <w:r w:rsidR="008975B1" w:rsidRPr="0099682A">
              <w:rPr>
                <w:rFonts w:eastAsia="Times New Roman"/>
                <w:b/>
                <w:bCs/>
                <w:color w:val="000000"/>
                <w:lang w:eastAsia="es-MX"/>
              </w:rPr>
              <w:t>):</w:t>
            </w:r>
            <w:r w:rsidR="00B44170" w:rsidRPr="0099682A">
              <w:rPr>
                <w:rFonts w:eastAsia="Times New Roman"/>
                <w:b/>
                <w:bCs/>
                <w:color w:val="000000"/>
                <w:lang w:eastAsia="es-MX"/>
              </w:rPr>
              <w:t xml:space="preserve"> </w:t>
            </w:r>
          </w:p>
        </w:tc>
      </w:tr>
      <w:tr w:rsidR="00EC63B6" w:rsidRPr="00E1388F" w14:paraId="2F7C8D93" w14:textId="77777777" w:rsidTr="0099682A">
        <w:trPr>
          <w:trHeight w:val="504"/>
          <w:tblCellSpacing w:w="20" w:type="dxa"/>
        </w:trPr>
        <w:tc>
          <w:tcPr>
            <w:tcW w:w="1988" w:type="dxa"/>
            <w:gridSpan w:val="2"/>
            <w:shd w:val="clear" w:color="000000" w:fill="FFFFFF"/>
            <w:noWrap/>
            <w:hideMark/>
          </w:tcPr>
          <w:p w14:paraId="53D4A07A" w14:textId="77777777" w:rsidR="00E1388F" w:rsidRPr="00E1388F" w:rsidRDefault="00E1388F" w:rsidP="00E1388F">
            <w:pPr>
              <w:spacing w:after="0" w:line="240" w:lineRule="auto"/>
              <w:rPr>
                <w:rFonts w:eastAsia="Times New Roman"/>
                <w:color w:val="000000"/>
                <w:lang w:eastAsia="es-MX"/>
              </w:rPr>
            </w:pPr>
            <w:r w:rsidRPr="00E1388F">
              <w:rPr>
                <w:rFonts w:eastAsia="Times New Roman"/>
                <w:color w:val="000000"/>
                <w:lang w:eastAsia="es-MX"/>
              </w:rPr>
              <w:t>Nombre:</w:t>
            </w:r>
          </w:p>
        </w:tc>
        <w:tc>
          <w:tcPr>
            <w:tcW w:w="3625" w:type="dxa"/>
            <w:gridSpan w:val="3"/>
            <w:shd w:val="clear" w:color="000000" w:fill="FFFFFF"/>
            <w:noWrap/>
            <w:hideMark/>
          </w:tcPr>
          <w:p w14:paraId="1F1D3BF1" w14:textId="77777777" w:rsidR="00E1388F" w:rsidRPr="00E1388F" w:rsidRDefault="00B44170" w:rsidP="00601986">
            <w:pPr>
              <w:spacing w:after="0" w:line="240" w:lineRule="auto"/>
              <w:rPr>
                <w:rFonts w:eastAsia="Times New Roman"/>
                <w:color w:val="000000"/>
                <w:lang w:eastAsia="es-MX"/>
              </w:rPr>
            </w:pPr>
            <w:r w:rsidRPr="00B44170">
              <w:rPr>
                <w:rFonts w:eastAsia="Times New Roman"/>
                <w:color w:val="000000"/>
                <w:lang w:eastAsia="es-MX"/>
              </w:rPr>
              <w:t>Armando Enrique Apodaca Soto</w:t>
            </w:r>
          </w:p>
        </w:tc>
        <w:tc>
          <w:tcPr>
            <w:tcW w:w="2177" w:type="dxa"/>
            <w:gridSpan w:val="3"/>
            <w:shd w:val="clear" w:color="000000" w:fill="FFFFFF"/>
            <w:noWrap/>
            <w:hideMark/>
          </w:tcPr>
          <w:p w14:paraId="3F915B4D" w14:textId="77777777" w:rsidR="00E1388F" w:rsidRPr="00E1388F" w:rsidRDefault="00E1388F" w:rsidP="00E1388F">
            <w:pPr>
              <w:spacing w:after="0" w:line="240" w:lineRule="auto"/>
              <w:rPr>
                <w:rFonts w:eastAsia="Times New Roman"/>
                <w:color w:val="000000"/>
                <w:lang w:eastAsia="es-MX"/>
              </w:rPr>
            </w:pPr>
            <w:r w:rsidRPr="00E1388F">
              <w:rPr>
                <w:rFonts w:eastAsia="Times New Roman"/>
                <w:color w:val="000000"/>
                <w:lang w:eastAsia="es-MX"/>
              </w:rPr>
              <w:t>Unidad Administrativa:</w:t>
            </w:r>
          </w:p>
        </w:tc>
        <w:tc>
          <w:tcPr>
            <w:tcW w:w="2363" w:type="dxa"/>
            <w:shd w:val="clear" w:color="000000" w:fill="FFFFFF"/>
            <w:noWrap/>
            <w:hideMark/>
          </w:tcPr>
          <w:p w14:paraId="46686F24" w14:textId="77777777" w:rsidR="00E1388F" w:rsidRPr="00E1388F" w:rsidRDefault="00E1388F" w:rsidP="00601986">
            <w:pPr>
              <w:spacing w:after="0" w:line="240" w:lineRule="auto"/>
              <w:rPr>
                <w:rFonts w:eastAsia="Times New Roman"/>
                <w:color w:val="000000"/>
                <w:lang w:eastAsia="es-MX"/>
              </w:rPr>
            </w:pPr>
            <w:r w:rsidRPr="00E1388F">
              <w:rPr>
                <w:rFonts w:eastAsia="Times New Roman"/>
                <w:color w:val="000000"/>
                <w:lang w:eastAsia="es-MX"/>
              </w:rPr>
              <w:t> </w:t>
            </w:r>
            <w:r w:rsidR="00B44170">
              <w:rPr>
                <w:rFonts w:eastAsia="Times New Roman"/>
                <w:color w:val="000000"/>
                <w:lang w:eastAsia="es-MX"/>
              </w:rPr>
              <w:t>Servicios de Salud de Sinaloa</w:t>
            </w:r>
          </w:p>
        </w:tc>
      </w:tr>
      <w:tr w:rsidR="00EC63B6" w:rsidRPr="00E1388F" w14:paraId="406676FD" w14:textId="77777777" w:rsidTr="0099682A">
        <w:trPr>
          <w:trHeight w:val="504"/>
          <w:tblCellSpacing w:w="20" w:type="dxa"/>
        </w:trPr>
        <w:tc>
          <w:tcPr>
            <w:tcW w:w="1988" w:type="dxa"/>
            <w:gridSpan w:val="2"/>
            <w:shd w:val="clear" w:color="000000" w:fill="FFFFFF"/>
            <w:noWrap/>
            <w:hideMark/>
          </w:tcPr>
          <w:p w14:paraId="584FFD8B" w14:textId="77777777" w:rsidR="00E1388F" w:rsidRPr="00E1388F" w:rsidRDefault="00E1388F" w:rsidP="00E1388F">
            <w:pPr>
              <w:spacing w:after="0" w:line="240" w:lineRule="auto"/>
              <w:rPr>
                <w:rFonts w:eastAsia="Times New Roman"/>
                <w:color w:val="000000"/>
                <w:lang w:eastAsia="es-MX"/>
              </w:rPr>
            </w:pPr>
            <w:r w:rsidRPr="00E1388F">
              <w:rPr>
                <w:rFonts w:eastAsia="Times New Roman"/>
                <w:color w:val="000000"/>
                <w:lang w:eastAsia="es-MX"/>
              </w:rPr>
              <w:t>Correo Electrónico:</w:t>
            </w:r>
          </w:p>
        </w:tc>
        <w:tc>
          <w:tcPr>
            <w:tcW w:w="3625" w:type="dxa"/>
            <w:gridSpan w:val="3"/>
            <w:shd w:val="clear" w:color="000000" w:fill="FFFFFF"/>
            <w:noWrap/>
            <w:hideMark/>
          </w:tcPr>
          <w:p w14:paraId="0FBE9FBB" w14:textId="77777777" w:rsidR="00E1388F" w:rsidRPr="00E1388F" w:rsidRDefault="00E1388F" w:rsidP="00E1388F">
            <w:pPr>
              <w:spacing w:after="0" w:line="240" w:lineRule="auto"/>
              <w:rPr>
                <w:rFonts w:eastAsia="Times New Roman"/>
                <w:color w:val="000000"/>
                <w:lang w:eastAsia="es-MX"/>
              </w:rPr>
            </w:pPr>
            <w:r w:rsidRPr="00E1388F">
              <w:rPr>
                <w:rFonts w:eastAsia="Times New Roman"/>
                <w:color w:val="000000"/>
                <w:lang w:eastAsia="es-MX"/>
              </w:rPr>
              <w:t> </w:t>
            </w:r>
            <w:r w:rsidR="00B44170" w:rsidRPr="00B44170">
              <w:rPr>
                <w:rFonts w:eastAsia="Times New Roman"/>
                <w:color w:val="000000"/>
                <w:lang w:eastAsia="es-MX"/>
              </w:rPr>
              <w:t>armando.apodaca@saludsinaloa.gob.mx</w:t>
            </w:r>
          </w:p>
        </w:tc>
        <w:tc>
          <w:tcPr>
            <w:tcW w:w="2177" w:type="dxa"/>
            <w:gridSpan w:val="3"/>
            <w:shd w:val="clear" w:color="000000" w:fill="FFFFFF"/>
            <w:noWrap/>
            <w:hideMark/>
          </w:tcPr>
          <w:p w14:paraId="1F02816F" w14:textId="77777777" w:rsidR="00E1388F" w:rsidRPr="00E1388F" w:rsidRDefault="00E1388F" w:rsidP="00E1388F">
            <w:pPr>
              <w:spacing w:after="0" w:line="240" w:lineRule="auto"/>
              <w:rPr>
                <w:rFonts w:eastAsia="Times New Roman"/>
                <w:color w:val="000000"/>
                <w:lang w:eastAsia="es-MX"/>
              </w:rPr>
            </w:pPr>
            <w:r w:rsidRPr="00E1388F">
              <w:rPr>
                <w:rFonts w:eastAsia="Times New Roman"/>
                <w:color w:val="000000"/>
                <w:lang w:eastAsia="es-MX"/>
              </w:rPr>
              <w:t>Teléfono con lada:</w:t>
            </w:r>
          </w:p>
        </w:tc>
        <w:tc>
          <w:tcPr>
            <w:tcW w:w="2363" w:type="dxa"/>
            <w:shd w:val="clear" w:color="000000" w:fill="FFFFFF"/>
            <w:noWrap/>
            <w:hideMark/>
          </w:tcPr>
          <w:p w14:paraId="3E2C3127" w14:textId="77777777" w:rsidR="00E1388F" w:rsidRPr="00E1388F" w:rsidRDefault="00E1388F" w:rsidP="00601986">
            <w:pPr>
              <w:spacing w:after="0" w:line="240" w:lineRule="auto"/>
              <w:rPr>
                <w:rFonts w:eastAsia="Times New Roman"/>
                <w:color w:val="000000"/>
                <w:lang w:eastAsia="es-MX"/>
              </w:rPr>
            </w:pPr>
            <w:r w:rsidRPr="00E1388F">
              <w:rPr>
                <w:rFonts w:eastAsia="Times New Roman"/>
                <w:color w:val="000000"/>
                <w:lang w:eastAsia="es-MX"/>
              </w:rPr>
              <w:t> </w:t>
            </w:r>
            <w:r w:rsidR="00B44170" w:rsidRPr="00B44170">
              <w:rPr>
                <w:rFonts w:eastAsia="Times New Roman"/>
                <w:color w:val="000000"/>
                <w:lang w:eastAsia="es-MX"/>
              </w:rPr>
              <w:t>6677592525</w:t>
            </w:r>
          </w:p>
        </w:tc>
      </w:tr>
    </w:tbl>
    <w:p w14:paraId="35EFAF3D" w14:textId="77777777" w:rsidR="0099682A" w:rsidRDefault="0099682A"/>
    <w:p w14:paraId="47227D25" w14:textId="77777777" w:rsidR="0099682A" w:rsidRDefault="0099682A">
      <w:pPr>
        <w:spacing w:after="0" w:line="240" w:lineRule="auto"/>
      </w:pPr>
      <w:r>
        <w:br w:type="page"/>
      </w:r>
    </w:p>
    <w:p w14:paraId="1127C0F2" w14:textId="77777777" w:rsidR="00EC63B6" w:rsidRDefault="00EC63B6"/>
    <w:tbl>
      <w:tblPr>
        <w:tblW w:w="9962"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2768"/>
        <w:gridCol w:w="1512"/>
        <w:gridCol w:w="5682"/>
      </w:tblGrid>
      <w:tr w:rsidR="00690BCC" w:rsidRPr="0099682A" w14:paraId="54230ADE" w14:textId="77777777" w:rsidTr="00EC63B6">
        <w:trPr>
          <w:trHeight w:val="300"/>
          <w:tblCellSpacing w:w="20" w:type="dxa"/>
        </w:trPr>
        <w:tc>
          <w:tcPr>
            <w:tcW w:w="9882" w:type="dxa"/>
            <w:gridSpan w:val="3"/>
            <w:shd w:val="clear" w:color="000000" w:fill="8B1D31"/>
            <w:noWrap/>
            <w:hideMark/>
          </w:tcPr>
          <w:p w14:paraId="3D21C8D9" w14:textId="77777777" w:rsidR="00E1388F" w:rsidRPr="0099682A" w:rsidRDefault="00E1388F" w:rsidP="00E1388F">
            <w:pPr>
              <w:spacing w:after="0" w:line="240" w:lineRule="auto"/>
              <w:rPr>
                <w:rFonts w:eastAsia="Times New Roman"/>
                <w:b/>
                <w:bCs/>
                <w:color w:val="FFFFFF"/>
                <w:lang w:eastAsia="es-MX"/>
              </w:rPr>
            </w:pPr>
            <w:r w:rsidRPr="0099682A">
              <w:rPr>
                <w:rFonts w:eastAsia="Times New Roman"/>
                <w:b/>
                <w:bCs/>
                <w:color w:val="FFFFFF"/>
                <w:lang w:eastAsia="es-MX"/>
              </w:rPr>
              <w:t>6. Datos de Contratación de la Evaluación</w:t>
            </w:r>
          </w:p>
        </w:tc>
      </w:tr>
      <w:tr w:rsidR="00690BCC" w:rsidRPr="00E1388F" w14:paraId="36FCEFCC" w14:textId="77777777" w:rsidTr="00EC63B6">
        <w:trPr>
          <w:trHeight w:val="375"/>
          <w:tblCellSpacing w:w="20" w:type="dxa"/>
        </w:trPr>
        <w:tc>
          <w:tcPr>
            <w:tcW w:w="9882" w:type="dxa"/>
            <w:gridSpan w:val="3"/>
            <w:shd w:val="clear" w:color="000000" w:fill="FFFFFF"/>
            <w:noWrap/>
            <w:hideMark/>
          </w:tcPr>
          <w:p w14:paraId="5F64BEEA" w14:textId="77777777" w:rsidR="00E1388F" w:rsidRPr="00E1388F" w:rsidRDefault="00E1388F" w:rsidP="00E1388F">
            <w:pPr>
              <w:spacing w:after="0" w:line="240" w:lineRule="auto"/>
              <w:rPr>
                <w:rFonts w:eastAsia="Times New Roman"/>
                <w:color w:val="000000"/>
                <w:lang w:eastAsia="es-MX"/>
              </w:rPr>
            </w:pPr>
            <w:r w:rsidRPr="0099682A">
              <w:rPr>
                <w:rFonts w:eastAsia="Times New Roman"/>
                <w:b/>
                <w:bCs/>
                <w:color w:val="000000"/>
                <w:lang w:eastAsia="es-MX"/>
              </w:rPr>
              <w:t>6.1 Tipo de Contratación:</w:t>
            </w:r>
            <w:r w:rsidR="00601986">
              <w:rPr>
                <w:rFonts w:eastAsia="Times New Roman"/>
                <w:color w:val="000000"/>
                <w:lang w:eastAsia="es-MX"/>
              </w:rPr>
              <w:t xml:space="preserve">  Seleccionar con una (X) el correspondiente </w:t>
            </w:r>
          </w:p>
        </w:tc>
      </w:tr>
      <w:tr w:rsidR="00690BCC" w:rsidRPr="00E1388F" w14:paraId="05F61501" w14:textId="77777777" w:rsidTr="00601986">
        <w:trPr>
          <w:trHeight w:val="345"/>
          <w:tblCellSpacing w:w="20" w:type="dxa"/>
        </w:trPr>
        <w:tc>
          <w:tcPr>
            <w:tcW w:w="4215" w:type="dxa"/>
            <w:gridSpan w:val="2"/>
            <w:shd w:val="clear" w:color="000000" w:fill="FFFFFF"/>
            <w:noWrap/>
            <w:hideMark/>
          </w:tcPr>
          <w:p w14:paraId="20884851" w14:textId="77777777" w:rsidR="00E1388F" w:rsidRPr="00E1388F" w:rsidRDefault="00E1388F" w:rsidP="00E1388F">
            <w:pPr>
              <w:spacing w:after="0" w:line="240" w:lineRule="auto"/>
              <w:rPr>
                <w:rFonts w:eastAsia="Times New Roman"/>
                <w:color w:val="000000"/>
                <w:lang w:eastAsia="es-MX"/>
              </w:rPr>
            </w:pPr>
            <w:r w:rsidRPr="003B7AF2">
              <w:rPr>
                <w:rFonts w:eastAsia="Times New Roman"/>
                <w:b/>
                <w:color w:val="000000"/>
                <w:lang w:eastAsia="es-MX"/>
              </w:rPr>
              <w:t>6.1.1 Adjudicación Directa:</w:t>
            </w:r>
            <w:r w:rsidR="00B44170">
              <w:rPr>
                <w:rFonts w:eastAsia="Times New Roman"/>
                <w:color w:val="000000"/>
                <w:lang w:eastAsia="es-MX"/>
              </w:rPr>
              <w:t xml:space="preserve"> (X)</w:t>
            </w:r>
          </w:p>
        </w:tc>
        <w:tc>
          <w:tcPr>
            <w:tcW w:w="5627" w:type="dxa"/>
            <w:shd w:val="clear" w:color="000000" w:fill="FFFFFF"/>
            <w:noWrap/>
            <w:hideMark/>
          </w:tcPr>
          <w:p w14:paraId="274B11C9" w14:textId="77777777" w:rsidR="00E1388F" w:rsidRPr="003B7AF2" w:rsidRDefault="00E1388F" w:rsidP="00E1388F">
            <w:pPr>
              <w:spacing w:after="0" w:line="240" w:lineRule="auto"/>
              <w:rPr>
                <w:rFonts w:eastAsia="Times New Roman"/>
                <w:b/>
                <w:color w:val="000000"/>
                <w:lang w:eastAsia="es-MX"/>
              </w:rPr>
            </w:pPr>
            <w:r w:rsidRPr="003B7AF2">
              <w:rPr>
                <w:rFonts w:eastAsia="Times New Roman"/>
                <w:b/>
                <w:color w:val="000000"/>
                <w:lang w:eastAsia="es-MX"/>
              </w:rPr>
              <w:t>6.1.2 Invitación a Tres:</w:t>
            </w:r>
          </w:p>
        </w:tc>
      </w:tr>
      <w:tr w:rsidR="00690BCC" w:rsidRPr="00E1388F" w14:paraId="5FD15B46" w14:textId="77777777" w:rsidTr="00601986">
        <w:trPr>
          <w:trHeight w:val="446"/>
          <w:tblCellSpacing w:w="20" w:type="dxa"/>
        </w:trPr>
        <w:tc>
          <w:tcPr>
            <w:tcW w:w="4215" w:type="dxa"/>
            <w:gridSpan w:val="2"/>
            <w:shd w:val="clear" w:color="000000" w:fill="FFFFFF"/>
            <w:noWrap/>
            <w:hideMark/>
          </w:tcPr>
          <w:p w14:paraId="4C9077B1" w14:textId="77777777" w:rsidR="00E1388F" w:rsidRPr="003B7AF2" w:rsidRDefault="00E1388F" w:rsidP="00E1388F">
            <w:pPr>
              <w:spacing w:after="0" w:line="240" w:lineRule="auto"/>
              <w:rPr>
                <w:rFonts w:eastAsia="Times New Roman"/>
                <w:b/>
                <w:color w:val="000000"/>
                <w:lang w:eastAsia="es-MX"/>
              </w:rPr>
            </w:pPr>
            <w:r w:rsidRPr="003B7AF2">
              <w:rPr>
                <w:rFonts w:eastAsia="Times New Roman"/>
                <w:b/>
                <w:color w:val="000000"/>
                <w:lang w:eastAsia="es-MX"/>
              </w:rPr>
              <w:t>6.1.3 Licitación Pública Nacional:</w:t>
            </w:r>
          </w:p>
        </w:tc>
        <w:tc>
          <w:tcPr>
            <w:tcW w:w="5627" w:type="dxa"/>
            <w:shd w:val="clear" w:color="000000" w:fill="FFFFFF"/>
            <w:noWrap/>
            <w:hideMark/>
          </w:tcPr>
          <w:p w14:paraId="5D4CA135" w14:textId="77777777" w:rsidR="00E1388F" w:rsidRPr="003B7AF2" w:rsidRDefault="00E1388F" w:rsidP="00E1388F">
            <w:pPr>
              <w:spacing w:after="0" w:line="240" w:lineRule="auto"/>
              <w:rPr>
                <w:rFonts w:eastAsia="Times New Roman"/>
                <w:b/>
                <w:color w:val="000000"/>
                <w:lang w:eastAsia="es-MX"/>
              </w:rPr>
            </w:pPr>
            <w:r w:rsidRPr="003B7AF2">
              <w:rPr>
                <w:rFonts w:eastAsia="Times New Roman"/>
                <w:b/>
                <w:color w:val="000000"/>
                <w:lang w:eastAsia="es-MX"/>
              </w:rPr>
              <w:t>6.1.4 Licitación Pública Internacional:</w:t>
            </w:r>
          </w:p>
        </w:tc>
      </w:tr>
      <w:tr w:rsidR="00601986" w:rsidRPr="00E1388F" w14:paraId="0DAE980E" w14:textId="77777777" w:rsidTr="00601986">
        <w:trPr>
          <w:trHeight w:val="390"/>
          <w:tblCellSpacing w:w="20" w:type="dxa"/>
        </w:trPr>
        <w:tc>
          <w:tcPr>
            <w:tcW w:w="2695" w:type="dxa"/>
            <w:shd w:val="clear" w:color="000000" w:fill="FFFFFF"/>
            <w:noWrap/>
            <w:hideMark/>
          </w:tcPr>
          <w:p w14:paraId="7DA77148" w14:textId="77777777" w:rsidR="00601986" w:rsidRPr="003B7AF2" w:rsidRDefault="00601986" w:rsidP="00E1388F">
            <w:pPr>
              <w:spacing w:after="0" w:line="240" w:lineRule="auto"/>
              <w:rPr>
                <w:rFonts w:eastAsia="Times New Roman"/>
                <w:b/>
                <w:color w:val="000000"/>
                <w:lang w:eastAsia="es-MX"/>
              </w:rPr>
            </w:pPr>
            <w:r w:rsidRPr="003B7AF2">
              <w:rPr>
                <w:rFonts w:eastAsia="Times New Roman"/>
                <w:b/>
                <w:color w:val="000000"/>
                <w:lang w:eastAsia="es-MX"/>
              </w:rPr>
              <w:t>6.1.5 Otro: (señalar)</w:t>
            </w:r>
          </w:p>
        </w:tc>
        <w:tc>
          <w:tcPr>
            <w:tcW w:w="7147" w:type="dxa"/>
            <w:gridSpan w:val="2"/>
            <w:shd w:val="clear" w:color="000000" w:fill="FFFFFF"/>
            <w:noWrap/>
            <w:hideMark/>
          </w:tcPr>
          <w:p w14:paraId="1BB1C3BB" w14:textId="77777777" w:rsidR="00601986" w:rsidRPr="003B7AF2" w:rsidRDefault="00601986" w:rsidP="00E1388F">
            <w:pPr>
              <w:spacing w:after="0" w:line="240" w:lineRule="auto"/>
              <w:rPr>
                <w:rFonts w:eastAsia="Times New Roman"/>
                <w:b/>
                <w:color w:val="000000"/>
                <w:lang w:eastAsia="es-MX"/>
              </w:rPr>
            </w:pPr>
            <w:r w:rsidRPr="003B7AF2">
              <w:rPr>
                <w:rFonts w:eastAsia="Times New Roman"/>
                <w:b/>
                <w:color w:val="000000"/>
                <w:lang w:eastAsia="es-MX"/>
              </w:rPr>
              <w:t> </w:t>
            </w:r>
          </w:p>
        </w:tc>
      </w:tr>
      <w:tr w:rsidR="00690BCC" w:rsidRPr="00E1388F" w14:paraId="2FE6A52A" w14:textId="77777777" w:rsidTr="00EC63B6">
        <w:trPr>
          <w:trHeight w:val="390"/>
          <w:tblCellSpacing w:w="20" w:type="dxa"/>
        </w:trPr>
        <w:tc>
          <w:tcPr>
            <w:tcW w:w="9882" w:type="dxa"/>
            <w:gridSpan w:val="3"/>
            <w:shd w:val="clear" w:color="000000" w:fill="FFFFFF"/>
            <w:noWrap/>
            <w:hideMark/>
          </w:tcPr>
          <w:p w14:paraId="7E0C109F" w14:textId="77777777" w:rsidR="00E1388F" w:rsidRPr="00E1388F" w:rsidRDefault="00E1388F" w:rsidP="00E1388F">
            <w:pPr>
              <w:spacing w:after="0" w:line="240" w:lineRule="auto"/>
              <w:rPr>
                <w:rFonts w:eastAsia="Times New Roman"/>
                <w:color w:val="000000"/>
                <w:lang w:eastAsia="es-MX"/>
              </w:rPr>
            </w:pPr>
            <w:r w:rsidRPr="0099682A">
              <w:rPr>
                <w:rFonts w:eastAsia="Times New Roman"/>
                <w:b/>
                <w:bCs/>
                <w:color w:val="000000"/>
                <w:lang w:eastAsia="es-MX"/>
              </w:rPr>
              <w:t>6.2 Unidad Administrativa Responsable de Contratar la Evaluación:</w:t>
            </w:r>
            <w:r w:rsidR="00601986">
              <w:rPr>
                <w:rFonts w:eastAsia="Times New Roman"/>
                <w:color w:val="000000"/>
                <w:lang w:eastAsia="es-MX"/>
              </w:rPr>
              <w:t xml:space="preserve">  </w:t>
            </w:r>
            <w:r w:rsidR="00B44170">
              <w:rPr>
                <w:rFonts w:eastAsia="Times New Roman"/>
                <w:color w:val="000000"/>
                <w:lang w:eastAsia="es-MX"/>
              </w:rPr>
              <w:t>Dirección Administrativa de los Servicios de Salud de Sinaloa.</w:t>
            </w:r>
          </w:p>
        </w:tc>
      </w:tr>
      <w:tr w:rsidR="00690BCC" w:rsidRPr="00E1388F" w14:paraId="45AB22EE" w14:textId="77777777" w:rsidTr="00EC63B6">
        <w:trPr>
          <w:trHeight w:val="390"/>
          <w:tblCellSpacing w:w="20" w:type="dxa"/>
        </w:trPr>
        <w:tc>
          <w:tcPr>
            <w:tcW w:w="9882" w:type="dxa"/>
            <w:gridSpan w:val="3"/>
            <w:shd w:val="clear" w:color="000000" w:fill="FFFFFF"/>
            <w:noWrap/>
            <w:hideMark/>
          </w:tcPr>
          <w:p w14:paraId="3E5B0A69" w14:textId="03EC0E0B" w:rsidR="00E1388F" w:rsidRPr="00E1388F" w:rsidRDefault="00E1388F" w:rsidP="00E1388F">
            <w:pPr>
              <w:spacing w:after="0" w:line="240" w:lineRule="auto"/>
              <w:rPr>
                <w:rFonts w:eastAsia="Times New Roman"/>
                <w:color w:val="000000"/>
                <w:lang w:eastAsia="es-MX"/>
              </w:rPr>
            </w:pPr>
            <w:r w:rsidRPr="0099682A">
              <w:rPr>
                <w:rFonts w:eastAsia="Times New Roman"/>
                <w:b/>
                <w:bCs/>
                <w:color w:val="000000"/>
                <w:lang w:eastAsia="es-MX"/>
              </w:rPr>
              <w:t>6.3 C</w:t>
            </w:r>
            <w:r w:rsidR="00690BCC" w:rsidRPr="0099682A">
              <w:rPr>
                <w:rFonts w:eastAsia="Times New Roman"/>
                <w:b/>
                <w:bCs/>
                <w:color w:val="000000"/>
                <w:lang w:eastAsia="es-MX"/>
              </w:rPr>
              <w:t>osto Total de la Evaluación:</w:t>
            </w:r>
            <w:r w:rsidR="00690BCC">
              <w:rPr>
                <w:rFonts w:eastAsia="Times New Roman"/>
                <w:color w:val="000000"/>
                <w:lang w:eastAsia="es-MX"/>
              </w:rPr>
              <w:t xml:space="preserve">  </w:t>
            </w:r>
            <w:r w:rsidR="00B44170">
              <w:rPr>
                <w:rFonts w:eastAsia="Times New Roman"/>
                <w:color w:val="000000"/>
                <w:lang w:eastAsia="es-MX"/>
              </w:rPr>
              <w:t>$60,000.00</w:t>
            </w:r>
          </w:p>
        </w:tc>
      </w:tr>
      <w:tr w:rsidR="00690BCC" w:rsidRPr="00E1388F" w14:paraId="17525276" w14:textId="77777777" w:rsidTr="00EC63B6">
        <w:trPr>
          <w:trHeight w:val="390"/>
          <w:tblCellSpacing w:w="20" w:type="dxa"/>
        </w:trPr>
        <w:tc>
          <w:tcPr>
            <w:tcW w:w="9882" w:type="dxa"/>
            <w:gridSpan w:val="3"/>
            <w:shd w:val="clear" w:color="000000" w:fill="FFFFFF"/>
            <w:noWrap/>
            <w:hideMark/>
          </w:tcPr>
          <w:p w14:paraId="5167D48F" w14:textId="6B4A09C3" w:rsidR="00E1388F" w:rsidRPr="00E1388F" w:rsidRDefault="00E1388F" w:rsidP="00E1388F">
            <w:pPr>
              <w:spacing w:after="0" w:line="240" w:lineRule="auto"/>
              <w:rPr>
                <w:rFonts w:eastAsia="Times New Roman"/>
                <w:color w:val="000000"/>
                <w:lang w:eastAsia="es-MX"/>
              </w:rPr>
            </w:pPr>
            <w:r w:rsidRPr="0099682A">
              <w:rPr>
                <w:rFonts w:eastAsia="Times New Roman"/>
                <w:b/>
                <w:bCs/>
                <w:color w:val="000000"/>
                <w:lang w:eastAsia="es-MX"/>
              </w:rPr>
              <w:t>6.4 Fuente de Financiamiento:</w:t>
            </w:r>
            <w:r w:rsidR="00601986">
              <w:rPr>
                <w:rFonts w:eastAsia="Times New Roman"/>
                <w:color w:val="000000"/>
                <w:lang w:eastAsia="es-MX"/>
              </w:rPr>
              <w:t xml:space="preserve"> </w:t>
            </w:r>
            <w:r w:rsidR="00803FB4">
              <w:rPr>
                <w:rFonts w:eastAsia="Times New Roman"/>
                <w:color w:val="000000"/>
                <w:lang w:eastAsia="es-MX"/>
              </w:rPr>
              <w:t>FASSA</w:t>
            </w:r>
          </w:p>
        </w:tc>
      </w:tr>
    </w:tbl>
    <w:p w14:paraId="4C322A8B" w14:textId="77777777" w:rsidR="00EC63B6" w:rsidRDefault="00EC63B6"/>
    <w:tbl>
      <w:tblPr>
        <w:tblW w:w="9962"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9962"/>
      </w:tblGrid>
      <w:tr w:rsidR="00690BCC" w:rsidRPr="0099682A" w14:paraId="2B046898" w14:textId="77777777" w:rsidTr="00EC63B6">
        <w:trPr>
          <w:trHeight w:val="300"/>
          <w:tblCellSpacing w:w="20" w:type="dxa"/>
        </w:trPr>
        <w:tc>
          <w:tcPr>
            <w:tcW w:w="9882" w:type="dxa"/>
            <w:shd w:val="clear" w:color="000000" w:fill="8B1D31"/>
            <w:noWrap/>
            <w:hideMark/>
          </w:tcPr>
          <w:p w14:paraId="3B9700BF" w14:textId="77777777" w:rsidR="00250CB1" w:rsidRPr="0099682A" w:rsidRDefault="00E1388F" w:rsidP="0099682A">
            <w:pPr>
              <w:spacing w:after="0" w:line="240" w:lineRule="auto"/>
              <w:rPr>
                <w:rFonts w:eastAsia="Times New Roman"/>
                <w:b/>
                <w:bCs/>
                <w:color w:val="FFFFFF"/>
                <w:lang w:eastAsia="es-MX"/>
              </w:rPr>
            </w:pPr>
            <w:r w:rsidRPr="0099682A">
              <w:rPr>
                <w:rFonts w:eastAsia="Times New Roman"/>
                <w:b/>
                <w:bCs/>
                <w:color w:val="FFFFFF"/>
                <w:lang w:eastAsia="es-MX"/>
              </w:rPr>
              <w:t>7. Difusión de la Evaluación</w:t>
            </w:r>
          </w:p>
        </w:tc>
      </w:tr>
      <w:tr w:rsidR="00690BCC" w:rsidRPr="00E1388F" w14:paraId="5D0DB9AF" w14:textId="77777777" w:rsidTr="00EC63B6">
        <w:trPr>
          <w:trHeight w:val="390"/>
          <w:tblCellSpacing w:w="20" w:type="dxa"/>
        </w:trPr>
        <w:tc>
          <w:tcPr>
            <w:tcW w:w="9882" w:type="dxa"/>
            <w:shd w:val="clear" w:color="000000" w:fill="FFFFFF"/>
            <w:noWrap/>
            <w:hideMark/>
          </w:tcPr>
          <w:p w14:paraId="632D5473" w14:textId="3B6117A7" w:rsidR="00E1388F" w:rsidRPr="00E1388F" w:rsidRDefault="00E1388F" w:rsidP="003B7AF2">
            <w:pPr>
              <w:spacing w:after="0" w:line="240" w:lineRule="auto"/>
              <w:rPr>
                <w:rFonts w:eastAsia="Times New Roman"/>
                <w:color w:val="000000"/>
                <w:lang w:eastAsia="es-MX"/>
              </w:rPr>
            </w:pPr>
            <w:r w:rsidRPr="003B7AF2">
              <w:rPr>
                <w:rFonts w:eastAsia="Times New Roman"/>
                <w:b/>
                <w:color w:val="000000"/>
                <w:lang w:eastAsia="es-MX"/>
              </w:rPr>
              <w:t>7.1 Difusión en Internet de la Evaluación:</w:t>
            </w:r>
            <w:r w:rsidR="00601986">
              <w:rPr>
                <w:rFonts w:eastAsia="Times New Roman"/>
                <w:color w:val="000000"/>
                <w:lang w:eastAsia="es-MX"/>
              </w:rPr>
              <w:t xml:space="preserve"> </w:t>
            </w:r>
            <w:hyperlink r:id="rId9" w:history="1">
              <w:r w:rsidR="0074125F">
                <w:rPr>
                  <w:rStyle w:val="Hipervnculo"/>
                </w:rPr>
                <w:t>http://ss.transparenciasinaloa.gob.mx/historico-indicadores-y-evaluaciones/</w:t>
              </w:r>
            </w:hyperlink>
          </w:p>
        </w:tc>
      </w:tr>
      <w:tr w:rsidR="00690BCC" w:rsidRPr="00E1388F" w14:paraId="0086D923" w14:textId="77777777" w:rsidTr="00EC63B6">
        <w:trPr>
          <w:trHeight w:val="390"/>
          <w:tblCellSpacing w:w="20" w:type="dxa"/>
        </w:trPr>
        <w:tc>
          <w:tcPr>
            <w:tcW w:w="9882" w:type="dxa"/>
            <w:shd w:val="clear" w:color="000000" w:fill="FFFFFF"/>
            <w:noWrap/>
            <w:hideMark/>
          </w:tcPr>
          <w:p w14:paraId="72995CB7" w14:textId="32DBF55F" w:rsidR="00B44170" w:rsidRPr="0074125F" w:rsidRDefault="00E1388F" w:rsidP="003B7AF2">
            <w:pPr>
              <w:spacing w:after="0" w:line="240" w:lineRule="auto"/>
              <w:rPr>
                <w:rFonts w:cstheme="minorHAnsi"/>
              </w:rPr>
            </w:pPr>
            <w:r w:rsidRPr="003B7AF2">
              <w:rPr>
                <w:rFonts w:eastAsia="Times New Roman"/>
                <w:b/>
                <w:color w:val="000000"/>
                <w:lang w:eastAsia="es-MX"/>
              </w:rPr>
              <w:t>7.2 Difusión en Internet del Formato</w:t>
            </w:r>
            <w:r w:rsidR="00E474E8" w:rsidRPr="003B7AF2">
              <w:rPr>
                <w:rFonts w:eastAsia="Times New Roman"/>
                <w:b/>
                <w:color w:val="000000"/>
                <w:lang w:eastAsia="es-MX"/>
              </w:rPr>
              <w:t>:</w:t>
            </w:r>
            <w:r w:rsidR="00E474E8">
              <w:rPr>
                <w:rFonts w:eastAsia="Times New Roman"/>
                <w:color w:val="000000"/>
                <w:lang w:eastAsia="es-MX"/>
              </w:rPr>
              <w:t xml:space="preserve"> </w:t>
            </w:r>
            <w:hyperlink r:id="rId10" w:history="1">
              <w:r w:rsidR="0074125F">
                <w:rPr>
                  <w:rStyle w:val="Hipervnculo"/>
                </w:rPr>
                <w:t>http://ss.transparenciasinaloa.gob.mx/historico-indicadores-y-evaluaciones/</w:t>
              </w:r>
            </w:hyperlink>
          </w:p>
        </w:tc>
      </w:tr>
    </w:tbl>
    <w:p w14:paraId="5044C28B" w14:textId="77777777" w:rsidR="00782C22" w:rsidRDefault="00782C22"/>
    <w:p w14:paraId="78E83C7D" w14:textId="77777777" w:rsidR="00E474E8" w:rsidRDefault="00E474E8">
      <w:bookmarkStart w:id="0" w:name="_GoBack"/>
      <w:bookmarkEnd w:id="0"/>
    </w:p>
    <w:p w14:paraId="00658598" w14:textId="77777777" w:rsidR="00E474E8" w:rsidRDefault="00E474E8"/>
    <w:p w14:paraId="51C2C733" w14:textId="77777777" w:rsidR="00E474E8" w:rsidRDefault="00E474E8"/>
    <w:p w14:paraId="3860C519" w14:textId="77777777" w:rsidR="00E474E8" w:rsidRDefault="00E474E8"/>
    <w:p w14:paraId="73762293" w14:textId="77777777" w:rsidR="00E474E8" w:rsidRDefault="00E474E8"/>
    <w:p w14:paraId="16196115" w14:textId="77777777" w:rsidR="00E474E8" w:rsidRDefault="00E474E8"/>
    <w:p w14:paraId="66AE29E2" w14:textId="77777777" w:rsidR="00E474E8" w:rsidRDefault="00E474E8"/>
    <w:sectPr w:rsidR="00E474E8" w:rsidSect="00E1388F">
      <w:headerReference w:type="default" r:id="rId11"/>
      <w:headerReference w:type="first" r:id="rId12"/>
      <w:pgSz w:w="12240" w:h="15840"/>
      <w:pgMar w:top="1701" w:right="1608" w:bottom="1701"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5BFD5" w14:textId="77777777" w:rsidR="00FC6F94" w:rsidRDefault="00FC6F94" w:rsidP="008E5209">
      <w:pPr>
        <w:spacing w:after="0" w:line="240" w:lineRule="auto"/>
      </w:pPr>
      <w:r>
        <w:separator/>
      </w:r>
    </w:p>
  </w:endnote>
  <w:endnote w:type="continuationSeparator" w:id="0">
    <w:p w14:paraId="1D4C45F7" w14:textId="77777777" w:rsidR="00FC6F94" w:rsidRDefault="00FC6F94"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ontserrat Light">
    <w:altName w:val="Courier New"/>
    <w:panose1 w:val="000004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AD13E" w14:textId="77777777" w:rsidR="00FC6F94" w:rsidRDefault="00FC6F94" w:rsidP="008E5209">
      <w:pPr>
        <w:spacing w:after="0" w:line="240" w:lineRule="auto"/>
      </w:pPr>
      <w:r>
        <w:separator/>
      </w:r>
    </w:p>
  </w:footnote>
  <w:footnote w:type="continuationSeparator" w:id="0">
    <w:p w14:paraId="0D796AD7" w14:textId="77777777" w:rsidR="00FC6F94" w:rsidRDefault="00FC6F94" w:rsidP="008E5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3055E" w14:textId="77777777" w:rsidR="009C1D99" w:rsidRDefault="005C7259" w:rsidP="00DD1B80">
    <w:pPr>
      <w:pStyle w:val="Encabezado"/>
      <w:ind w:right="141"/>
      <w:jc w:val="right"/>
      <w:rPr>
        <w:rFonts w:ascii="Montserrat Light" w:hAnsi="Montserrat Light" w:cs="Arial"/>
        <w:b/>
        <w:color w:val="861D31"/>
        <w:szCs w:val="20"/>
      </w:rPr>
    </w:pPr>
    <w:r>
      <w:rPr>
        <w:rFonts w:ascii="Montserrat Light" w:hAnsi="Montserrat Light" w:cs="Arial"/>
        <w:noProof/>
        <w:color w:val="861D31"/>
        <w:szCs w:val="20"/>
        <w:lang w:eastAsia="es-MX"/>
      </w:rPr>
      <w:pict w14:anchorId="0D8AD76E">
        <v:shapetype id="_x0000_t202" coordsize="21600,21600" o:spt="202" path="m,l,21600r21600,l21600,xe">
          <v:stroke joinstyle="miter"/>
          <v:path gradientshapeok="t" o:connecttype="rect"/>
        </v:shapetype>
        <v:shape id="_x0000_s2050" type="#_x0000_t202" style="position:absolute;left:0;text-align:left;margin-left:1.25pt;margin-top:-5pt;width:86.25pt;height:51.7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" filled="f" stroked="f">
          <v:textbox>
            <w:txbxContent>
              <w:p w14:paraId="0E7B1574" w14:textId="77777777" w:rsidR="009C1D99" w:rsidRDefault="009C1D99" w:rsidP="00DD1B80"/>
              <w:p w14:paraId="22F2AB4E" w14:textId="77777777" w:rsidR="009C1D99" w:rsidRPr="00AA3309" w:rsidRDefault="009C1D99" w:rsidP="00DD1B80">
                <w:pPr>
                  <w:rPr>
                    <w:b/>
                    <w:color w:val="861D31"/>
                  </w:rPr>
                </w:pPr>
                <w:r w:rsidRPr="00AA3309">
                  <w:rPr>
                    <w:b/>
                    <w:color w:val="861D31"/>
                  </w:rPr>
                  <w:t>SINALOA</w:t>
                </w:r>
              </w:p>
            </w:txbxContent>
          </v:textbox>
        </v:shape>
      </w:pict>
    </w:r>
    <w:r w:rsidR="009C1D99" w:rsidRPr="00DA1D55">
      <w:rPr>
        <w:rFonts w:ascii="Montserrat Light" w:hAnsi="Montserrat Light"/>
        <w:noProof/>
        <w:color w:val="861D31"/>
        <w:sz w:val="24"/>
        <w:lang w:eastAsia="es-MX"/>
      </w:rPr>
      <w:drawing>
        <wp:anchor distT="0" distB="0" distL="114300" distR="114300" simplePos="0" relativeHeight="251676672" behindDoc="1" locked="0" layoutInCell="1" allowOverlap="1" wp14:anchorId="2277590D" wp14:editId="57A00324">
          <wp:simplePos x="0" y="0"/>
          <wp:positionH relativeFrom="column">
            <wp:posOffset>-675640</wp:posOffset>
          </wp:positionH>
          <wp:positionV relativeFrom="paragraph">
            <wp:posOffset>-133350</wp:posOffset>
          </wp:positionV>
          <wp:extent cx="862330" cy="1410970"/>
          <wp:effectExtent l="0" t="0" r="0" b="0"/>
          <wp:wrapNone/>
          <wp:docPr id="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14:paraId="1301C6AF" w14:textId="77777777" w:rsidR="009C1D99" w:rsidRDefault="009C1D99" w:rsidP="00DD1B80">
    <w:pPr>
      <w:pStyle w:val="Encabezado"/>
      <w:ind w:right="141"/>
      <w:jc w:val="right"/>
      <w:rPr>
        <w:rFonts w:ascii="Montserrat Light" w:hAnsi="Montserrat Light" w:cs="Arial"/>
        <w:b/>
        <w:color w:val="861D31"/>
        <w:szCs w:val="20"/>
      </w:rPr>
    </w:pPr>
  </w:p>
  <w:p w14:paraId="462FF1C1" w14:textId="77777777" w:rsidR="009C1D99" w:rsidRPr="00D54A9B" w:rsidRDefault="009C1D99" w:rsidP="00DD1B80">
    <w:pPr>
      <w:pStyle w:val="Encabezado"/>
      <w:ind w:right="-206"/>
      <w:jc w:val="center"/>
      <w:rPr>
        <w:rFonts w:asciiTheme="minorHAnsi" w:hAnsiTheme="minorHAnsi" w:cs="Arial"/>
        <w:b/>
        <w:szCs w:val="20"/>
      </w:rPr>
    </w:pPr>
  </w:p>
  <w:p w14:paraId="385A4C36" w14:textId="77777777" w:rsidR="009C1D99" w:rsidRDefault="009C1D99" w:rsidP="00DD1B80">
    <w:pPr>
      <w:pStyle w:val="Encabezado"/>
    </w:pPr>
  </w:p>
  <w:p w14:paraId="7B2A77F3" w14:textId="77777777" w:rsidR="009C1D99" w:rsidRDefault="009C1D99" w:rsidP="00DD1B80">
    <w:pPr>
      <w:pStyle w:val="Encabezado"/>
    </w:pPr>
  </w:p>
  <w:p w14:paraId="67C3408D" w14:textId="77777777" w:rsidR="003B7AF2" w:rsidRDefault="003B7AF2" w:rsidP="003B7AF2">
    <w:pPr>
      <w:spacing w:after="0"/>
      <w:ind w:left="709" w:firstLine="709"/>
      <w:jc w:val="right"/>
      <w:rPr>
        <w:rFonts w:ascii="Montserrat Light" w:hAnsi="Montserrat Light" w:cs="Arial"/>
        <w:b/>
        <w:color w:val="861D31"/>
        <w:sz w:val="28"/>
      </w:rPr>
    </w:pPr>
    <w:r>
      <w:rPr>
        <w:rFonts w:ascii="Montserrat Light" w:hAnsi="Montserrat Light" w:cs="Arial"/>
        <w:b/>
        <w:color w:val="861D31"/>
        <w:sz w:val="28"/>
      </w:rPr>
      <w:t>Formato para la Difusión de los Resultados</w:t>
    </w:r>
  </w:p>
  <w:p w14:paraId="48905476" w14:textId="77777777" w:rsidR="003B7AF2" w:rsidRDefault="003B7AF2" w:rsidP="003B7AF2">
    <w:pPr>
      <w:spacing w:after="0"/>
      <w:ind w:left="709" w:firstLine="709"/>
      <w:jc w:val="right"/>
      <w:rPr>
        <w:rFonts w:ascii="Montserrat Light" w:hAnsi="Montserrat Light" w:cs="Arial"/>
        <w:b/>
        <w:color w:val="861D31"/>
        <w:sz w:val="28"/>
      </w:rPr>
    </w:pPr>
    <w:proofErr w:type="gramStart"/>
    <w:r>
      <w:rPr>
        <w:rFonts w:ascii="Montserrat Light" w:hAnsi="Montserrat Light" w:cs="Arial"/>
        <w:b/>
        <w:color w:val="861D31"/>
        <w:sz w:val="28"/>
      </w:rPr>
      <w:t>de</w:t>
    </w:r>
    <w:proofErr w:type="gramEnd"/>
    <w:r>
      <w:rPr>
        <w:rFonts w:ascii="Montserrat Light" w:hAnsi="Montserrat Light" w:cs="Arial"/>
        <w:b/>
        <w:color w:val="861D31"/>
        <w:sz w:val="28"/>
      </w:rPr>
      <w:t xml:space="preserve"> la Evaluación del Fondo de Aportaciones</w:t>
    </w:r>
  </w:p>
  <w:p w14:paraId="64051AA4" w14:textId="77777777" w:rsidR="003B7AF2" w:rsidRPr="0086126F" w:rsidRDefault="003B7AF2" w:rsidP="003B7AF2">
    <w:pPr>
      <w:spacing w:after="0"/>
      <w:ind w:left="709" w:firstLine="709"/>
      <w:jc w:val="right"/>
      <w:rPr>
        <w:rFonts w:ascii="Montserrat Light" w:hAnsi="Montserrat Light" w:cs="Arial"/>
        <w:b/>
        <w:color w:val="861D31"/>
        <w:sz w:val="28"/>
      </w:rPr>
    </w:pPr>
    <w:proofErr w:type="gramStart"/>
    <w:r>
      <w:rPr>
        <w:rFonts w:ascii="Montserrat Light" w:hAnsi="Montserrat Light" w:cs="Arial"/>
        <w:b/>
        <w:color w:val="861D31"/>
        <w:sz w:val="28"/>
      </w:rPr>
      <w:t>para</w:t>
    </w:r>
    <w:proofErr w:type="gramEnd"/>
    <w:r>
      <w:rPr>
        <w:rFonts w:ascii="Montserrat Light" w:hAnsi="Montserrat Light" w:cs="Arial"/>
        <w:b/>
        <w:color w:val="861D31"/>
        <w:sz w:val="28"/>
      </w:rPr>
      <w:t xml:space="preserve"> los Servicios de Salud (FASSA)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02460" w14:textId="77777777" w:rsidR="009C1D99" w:rsidRDefault="005C7259" w:rsidP="00DA1D55">
    <w:pPr>
      <w:pStyle w:val="Encabezado"/>
      <w:ind w:right="141"/>
      <w:jc w:val="right"/>
      <w:rPr>
        <w:rFonts w:ascii="Montserrat Light" w:hAnsi="Montserrat Light" w:cs="Arial"/>
        <w:b/>
        <w:color w:val="861D31"/>
        <w:szCs w:val="20"/>
      </w:rPr>
    </w:pPr>
    <w:r>
      <w:rPr>
        <w:rFonts w:ascii="Montserrat Light" w:hAnsi="Montserrat Light" w:cs="Arial"/>
        <w:noProof/>
        <w:color w:val="861D31"/>
        <w:szCs w:val="20"/>
        <w:lang w:eastAsia="es-MX"/>
      </w:rPr>
      <w:pict w14:anchorId="30A5577E">
        <v:shapetype id="_x0000_t202" coordsize="21600,21600" o:spt="202" path="m,l,21600r21600,l21600,xe">
          <v:stroke joinstyle="miter"/>
          <v:path gradientshapeok="t" o:connecttype="rect"/>
        </v:shapetype>
        <v:shape id="_x0000_s2049" type="#_x0000_t202" style="position:absolute;left:0;text-align:left;margin-left:1.25pt;margin-top:-5pt;width:86.25pt;height:51.7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" filled="f" stroked="f">
          <v:textbox>
            <w:txbxContent>
              <w:p w14:paraId="41921F70" w14:textId="77777777" w:rsidR="009C1D99" w:rsidRDefault="009C1D99" w:rsidP="00C759BF"/>
              <w:p w14:paraId="1DCCEE12" w14:textId="77777777" w:rsidR="009C1D99" w:rsidRPr="00AA3309" w:rsidRDefault="009C1D99" w:rsidP="00C759BF">
                <w:pPr>
                  <w:rPr>
                    <w:b/>
                    <w:color w:val="861D31"/>
                  </w:rPr>
                </w:pPr>
                <w:r w:rsidRPr="00AA3309">
                  <w:rPr>
                    <w:b/>
                    <w:color w:val="861D31"/>
                  </w:rPr>
                  <w:t>SINALOA</w:t>
                </w:r>
              </w:p>
            </w:txbxContent>
          </v:textbox>
        </v:shape>
      </w:pict>
    </w:r>
    <w:r w:rsidR="009C1D99" w:rsidRPr="00DA1D55">
      <w:rPr>
        <w:rFonts w:ascii="Montserrat Light" w:hAnsi="Montserrat Light"/>
        <w:noProof/>
        <w:color w:val="861D31"/>
        <w:sz w:val="24"/>
        <w:lang w:eastAsia="es-MX"/>
      </w:rPr>
      <w:drawing>
        <wp:anchor distT="0" distB="0" distL="114300" distR="114300" simplePos="0" relativeHeight="251673600" behindDoc="1" locked="0" layoutInCell="1" allowOverlap="1" wp14:anchorId="521A4754" wp14:editId="552F3117">
          <wp:simplePos x="0" y="0"/>
          <wp:positionH relativeFrom="column">
            <wp:posOffset>-675640</wp:posOffset>
          </wp:positionH>
          <wp:positionV relativeFrom="paragraph">
            <wp:posOffset>-133350</wp:posOffset>
          </wp:positionV>
          <wp:extent cx="862330" cy="1410970"/>
          <wp:effectExtent l="0" t="0" r="0" b="0"/>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14:paraId="0A1053B7" w14:textId="77777777" w:rsidR="009C1D99" w:rsidRDefault="009C1D99" w:rsidP="00DA1D55">
    <w:pPr>
      <w:pStyle w:val="Encabezado"/>
      <w:ind w:right="141"/>
      <w:jc w:val="right"/>
      <w:rPr>
        <w:rFonts w:ascii="Montserrat Light" w:hAnsi="Montserrat Light" w:cs="Arial"/>
        <w:b/>
        <w:color w:val="861D31"/>
        <w:szCs w:val="20"/>
      </w:rPr>
    </w:pPr>
  </w:p>
  <w:p w14:paraId="2F6848FB" w14:textId="77777777" w:rsidR="009C1D99" w:rsidRDefault="009C1D99">
    <w:pPr>
      <w:pStyle w:val="Encabezado"/>
    </w:pPr>
  </w:p>
  <w:p w14:paraId="4EC4932F" w14:textId="77777777" w:rsidR="009C1D99" w:rsidRDefault="009C1D99">
    <w:pPr>
      <w:pStyle w:val="Encabezado"/>
    </w:pPr>
  </w:p>
  <w:p w14:paraId="664F4F48" w14:textId="77777777" w:rsidR="009C1D99" w:rsidRDefault="0074125F" w:rsidP="0074125F">
    <w:pPr>
      <w:spacing w:after="0"/>
      <w:ind w:left="709" w:firstLine="709"/>
      <w:jc w:val="right"/>
      <w:rPr>
        <w:rFonts w:ascii="Montserrat Light" w:hAnsi="Montserrat Light" w:cs="Arial"/>
        <w:b/>
        <w:color w:val="861D31"/>
        <w:sz w:val="28"/>
      </w:rPr>
    </w:pPr>
    <w:r>
      <w:rPr>
        <w:rFonts w:ascii="Montserrat Light" w:hAnsi="Montserrat Light" w:cs="Arial"/>
        <w:b/>
        <w:color w:val="861D31"/>
        <w:sz w:val="28"/>
      </w:rPr>
      <w:t>Formato para la Difusión de los Resultados</w:t>
    </w:r>
  </w:p>
  <w:p w14:paraId="0BA17BDD" w14:textId="77777777" w:rsidR="0074125F" w:rsidRDefault="0074125F" w:rsidP="0074125F">
    <w:pPr>
      <w:spacing w:after="0"/>
      <w:ind w:left="709" w:firstLine="709"/>
      <w:jc w:val="right"/>
      <w:rPr>
        <w:rFonts w:ascii="Montserrat Light" w:hAnsi="Montserrat Light" w:cs="Arial"/>
        <w:b/>
        <w:color w:val="861D31"/>
        <w:sz w:val="28"/>
      </w:rPr>
    </w:pPr>
    <w:r>
      <w:rPr>
        <w:rFonts w:ascii="Montserrat Light" w:hAnsi="Montserrat Light" w:cs="Arial"/>
        <w:b/>
        <w:color w:val="861D31"/>
        <w:sz w:val="28"/>
      </w:rPr>
      <w:t>de la Evaluación del Fondo de Aportaciones</w:t>
    </w:r>
  </w:p>
  <w:p w14:paraId="4D1986AE" w14:textId="672352CA" w:rsidR="0074125F" w:rsidRPr="0086126F" w:rsidRDefault="0074125F" w:rsidP="0074125F">
    <w:pPr>
      <w:spacing w:after="0"/>
      <w:ind w:left="709" w:firstLine="709"/>
      <w:jc w:val="right"/>
      <w:rPr>
        <w:rFonts w:ascii="Montserrat Light" w:hAnsi="Montserrat Light" w:cs="Arial"/>
        <w:b/>
        <w:color w:val="861D31"/>
        <w:sz w:val="28"/>
      </w:rPr>
    </w:pPr>
    <w:proofErr w:type="gramStart"/>
    <w:r>
      <w:rPr>
        <w:rFonts w:ascii="Montserrat Light" w:hAnsi="Montserrat Light" w:cs="Arial"/>
        <w:b/>
        <w:color w:val="861D31"/>
        <w:sz w:val="28"/>
      </w:rPr>
      <w:t>para</w:t>
    </w:r>
    <w:proofErr w:type="gramEnd"/>
    <w:r>
      <w:rPr>
        <w:rFonts w:ascii="Montserrat Light" w:hAnsi="Montserrat Light" w:cs="Arial"/>
        <w:b/>
        <w:color w:val="861D31"/>
        <w:sz w:val="28"/>
      </w:rPr>
      <w:t xml:space="preserve"> los Servicios de Salud</w:t>
    </w:r>
    <w:r w:rsidR="003B7AF2">
      <w:rPr>
        <w:rFonts w:ascii="Montserrat Light" w:hAnsi="Montserrat Light" w:cs="Arial"/>
        <w:b/>
        <w:color w:val="861D31"/>
        <w:sz w:val="28"/>
      </w:rPr>
      <w:t xml:space="preserve"> (FASSA)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4C4E"/>
    <w:multiLevelType w:val="hybridMultilevel"/>
    <w:tmpl w:val="0A5A66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25313D"/>
    <w:multiLevelType w:val="hybridMultilevel"/>
    <w:tmpl w:val="6F08DE0C"/>
    <w:lvl w:ilvl="0" w:tplc="95960736">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2455CD"/>
    <w:multiLevelType w:val="hybridMultilevel"/>
    <w:tmpl w:val="B0D20AEE"/>
    <w:lvl w:ilvl="0" w:tplc="49444308">
      <w:start w:val="7"/>
      <w:numFmt w:val="upperLetter"/>
      <w:lvlText w:val="%1."/>
      <w:lvlJc w:val="left"/>
      <w:pPr>
        <w:ind w:left="15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C614E9"/>
    <w:multiLevelType w:val="hybridMultilevel"/>
    <w:tmpl w:val="403816EA"/>
    <w:lvl w:ilvl="0" w:tplc="5AB0A7A0">
      <w:start w:val="2"/>
      <w:numFmt w:val="bullet"/>
      <w:lvlText w:val="•"/>
      <w:lvlJc w:val="left"/>
      <w:pPr>
        <w:ind w:left="927" w:hanging="360"/>
      </w:pPr>
      <w:rPr>
        <w:rFonts w:ascii="Calibri" w:eastAsiaTheme="minorHAnsi" w:hAnsi="Calibri" w:cs="Calibr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
    <w:nsid w:val="06F10E83"/>
    <w:multiLevelType w:val="hybridMultilevel"/>
    <w:tmpl w:val="7012CD5A"/>
    <w:lvl w:ilvl="0" w:tplc="4BBE313E">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08276C16"/>
    <w:multiLevelType w:val="hybridMultilevel"/>
    <w:tmpl w:val="C8F633FC"/>
    <w:lvl w:ilvl="0" w:tplc="AA8C33F0">
      <w:start w:val="4"/>
      <w:numFmt w:val="decimal"/>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6">
    <w:nsid w:val="08B6524C"/>
    <w:multiLevelType w:val="hybridMultilevel"/>
    <w:tmpl w:val="595E0158"/>
    <w:lvl w:ilvl="0" w:tplc="31947FE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091F28D9"/>
    <w:multiLevelType w:val="hybridMultilevel"/>
    <w:tmpl w:val="8FF8A2E8"/>
    <w:lvl w:ilvl="0" w:tplc="84649956">
      <w:start w:val="7"/>
      <w:numFmt w:val="upp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1D13E4A"/>
    <w:multiLevelType w:val="hybridMultilevel"/>
    <w:tmpl w:val="D856DCE6"/>
    <w:lvl w:ilvl="0" w:tplc="A3CA052E">
      <w:start w:val="3"/>
      <w:numFmt w:val="upperLetter"/>
      <w:lvlText w:val="%1."/>
      <w:lvlJc w:val="left"/>
      <w:pPr>
        <w:ind w:left="15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8661DD"/>
    <w:multiLevelType w:val="hybridMultilevel"/>
    <w:tmpl w:val="28884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97715F1"/>
    <w:multiLevelType w:val="hybridMultilevel"/>
    <w:tmpl w:val="193C59BA"/>
    <w:lvl w:ilvl="0" w:tplc="2108BC44">
      <w:start w:val="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A3F0F9F"/>
    <w:multiLevelType w:val="hybridMultilevel"/>
    <w:tmpl w:val="E5BA9486"/>
    <w:lvl w:ilvl="0" w:tplc="080A0003">
      <w:start w:val="1"/>
      <w:numFmt w:val="bullet"/>
      <w:lvlText w:val="o"/>
      <w:lvlJc w:val="left"/>
      <w:pPr>
        <w:ind w:left="2160" w:hanging="360"/>
      </w:pPr>
      <w:rPr>
        <w:rFonts w:ascii="Courier New" w:hAnsi="Courier New" w:cs="Courier New"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2">
    <w:nsid w:val="1D632145"/>
    <w:multiLevelType w:val="hybridMultilevel"/>
    <w:tmpl w:val="2102D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04F38E1"/>
    <w:multiLevelType w:val="hybridMultilevel"/>
    <w:tmpl w:val="4968A7C6"/>
    <w:lvl w:ilvl="0" w:tplc="14602D2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21126B16"/>
    <w:multiLevelType w:val="hybridMultilevel"/>
    <w:tmpl w:val="457048BC"/>
    <w:lvl w:ilvl="0" w:tplc="6E9AA63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26C32B0"/>
    <w:multiLevelType w:val="hybridMultilevel"/>
    <w:tmpl w:val="85826234"/>
    <w:lvl w:ilvl="0" w:tplc="080A000F">
      <w:start w:val="1"/>
      <w:numFmt w:val="decimal"/>
      <w:lvlText w:val="%1."/>
      <w:lvlJc w:val="left"/>
      <w:pPr>
        <w:ind w:left="786" w:hanging="360"/>
      </w:pPr>
      <w:rPr>
        <w:rFonts w:hint="default"/>
      </w:rPr>
    </w:lvl>
    <w:lvl w:ilvl="1" w:tplc="080A0015">
      <w:start w:val="1"/>
      <w:numFmt w:val="upperLetter"/>
      <w:lvlText w:val="%2."/>
      <w:lvlJc w:val="left"/>
      <w:pPr>
        <w:ind w:left="1506" w:hanging="360"/>
      </w:pPr>
    </w:lvl>
    <w:lvl w:ilvl="2" w:tplc="080A001B">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5E91DE4"/>
    <w:multiLevelType w:val="hybridMultilevel"/>
    <w:tmpl w:val="F71483E0"/>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26E56919"/>
    <w:multiLevelType w:val="hybridMultilevel"/>
    <w:tmpl w:val="6ACED8B4"/>
    <w:lvl w:ilvl="0" w:tplc="4C70BF44">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6F65860"/>
    <w:multiLevelType w:val="hybridMultilevel"/>
    <w:tmpl w:val="083A0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B2C7CA7"/>
    <w:multiLevelType w:val="hybridMultilevel"/>
    <w:tmpl w:val="613A5D1A"/>
    <w:lvl w:ilvl="0" w:tplc="080A000F">
      <w:start w:val="1"/>
      <w:numFmt w:val="decimal"/>
      <w:lvlText w:val="%1."/>
      <w:lvlJc w:val="left"/>
      <w:pPr>
        <w:ind w:left="720" w:hanging="360"/>
      </w:pPr>
      <w:rPr>
        <w:rFonts w:hint="default"/>
      </w:rPr>
    </w:lvl>
    <w:lvl w:ilvl="1" w:tplc="2E1C4E9C">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C2F4325"/>
    <w:multiLevelType w:val="hybridMultilevel"/>
    <w:tmpl w:val="5422F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4A6102B"/>
    <w:multiLevelType w:val="hybridMultilevel"/>
    <w:tmpl w:val="CB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17435BC"/>
    <w:multiLevelType w:val="hybridMultilevel"/>
    <w:tmpl w:val="E2D0C828"/>
    <w:lvl w:ilvl="0" w:tplc="035AFE3C">
      <w:start w:val="3"/>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4D98171D"/>
    <w:multiLevelType w:val="hybridMultilevel"/>
    <w:tmpl w:val="4DE26EE4"/>
    <w:lvl w:ilvl="0" w:tplc="ADA064AE">
      <w:start w:val="1"/>
      <w:numFmt w:val="upp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53FC31A3"/>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75067AE"/>
    <w:multiLevelType w:val="hybridMultilevel"/>
    <w:tmpl w:val="BD46A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D6D57D1"/>
    <w:multiLevelType w:val="hybridMultilevel"/>
    <w:tmpl w:val="594063B8"/>
    <w:lvl w:ilvl="0" w:tplc="670EDCD6">
      <w:start w:val="3"/>
      <w:numFmt w:val="upperLetter"/>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00D2924"/>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13A4B3F"/>
    <w:multiLevelType w:val="hybridMultilevel"/>
    <w:tmpl w:val="062E60CE"/>
    <w:lvl w:ilvl="0" w:tplc="54408794">
      <w:start w:val="6"/>
      <w:numFmt w:val="upp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74162A2"/>
    <w:multiLevelType w:val="hybridMultilevel"/>
    <w:tmpl w:val="9BBE73A8"/>
    <w:lvl w:ilvl="0" w:tplc="199E1C4A">
      <w:start w:val="1"/>
      <w:numFmt w:val="upperLetter"/>
      <w:lvlText w:val="%1."/>
      <w:lvlJc w:val="left"/>
      <w:pPr>
        <w:ind w:left="1080" w:hanging="360"/>
      </w:pPr>
      <w:rPr>
        <w:rFonts w:hint="default"/>
      </w:rPr>
    </w:lvl>
    <w:lvl w:ilvl="1" w:tplc="080A001B">
      <w:start w:val="1"/>
      <w:numFmt w:val="lowerRoman"/>
      <w:lvlText w:val="%2."/>
      <w:lvlJc w:val="righ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nsid w:val="7A893327"/>
    <w:multiLevelType w:val="hybridMultilevel"/>
    <w:tmpl w:val="3CD042F8"/>
    <w:lvl w:ilvl="0" w:tplc="5A8296A6">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E891035"/>
    <w:multiLevelType w:val="hybridMultilevel"/>
    <w:tmpl w:val="84FEADF4"/>
    <w:lvl w:ilvl="0" w:tplc="7638A74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8"/>
  </w:num>
  <w:num w:numId="2">
    <w:abstractNumId w:val="15"/>
  </w:num>
  <w:num w:numId="3">
    <w:abstractNumId w:val="13"/>
  </w:num>
  <w:num w:numId="4">
    <w:abstractNumId w:val="6"/>
  </w:num>
  <w:num w:numId="5">
    <w:abstractNumId w:val="16"/>
  </w:num>
  <w:num w:numId="6">
    <w:abstractNumId w:val="4"/>
  </w:num>
  <w:num w:numId="7">
    <w:abstractNumId w:val="31"/>
  </w:num>
  <w:num w:numId="8">
    <w:abstractNumId w:val="26"/>
  </w:num>
  <w:num w:numId="9">
    <w:abstractNumId w:val="23"/>
  </w:num>
  <w:num w:numId="10">
    <w:abstractNumId w:val="17"/>
  </w:num>
  <w:num w:numId="11">
    <w:abstractNumId w:val="7"/>
  </w:num>
  <w:num w:numId="12">
    <w:abstractNumId w:val="11"/>
  </w:num>
  <w:num w:numId="13">
    <w:abstractNumId w:val="19"/>
  </w:num>
  <w:num w:numId="14">
    <w:abstractNumId w:val="28"/>
  </w:num>
  <w:num w:numId="15">
    <w:abstractNumId w:val="5"/>
  </w:num>
  <w:num w:numId="16">
    <w:abstractNumId w:val="1"/>
  </w:num>
  <w:num w:numId="17">
    <w:abstractNumId w:val="30"/>
  </w:num>
  <w:num w:numId="18">
    <w:abstractNumId w:val="29"/>
  </w:num>
  <w:num w:numId="19">
    <w:abstractNumId w:val="2"/>
  </w:num>
  <w:num w:numId="20">
    <w:abstractNumId w:val="22"/>
  </w:num>
  <w:num w:numId="21">
    <w:abstractNumId w:val="8"/>
  </w:num>
  <w:num w:numId="22">
    <w:abstractNumId w:val="14"/>
  </w:num>
  <w:num w:numId="23">
    <w:abstractNumId w:val="0"/>
  </w:num>
  <w:num w:numId="24">
    <w:abstractNumId w:val="24"/>
  </w:num>
  <w:num w:numId="25">
    <w:abstractNumId w:val="27"/>
  </w:num>
  <w:num w:numId="26">
    <w:abstractNumId w:val="3"/>
  </w:num>
  <w:num w:numId="27">
    <w:abstractNumId w:val="10"/>
  </w:num>
  <w:num w:numId="28">
    <w:abstractNumId w:val="9"/>
  </w:num>
  <w:num w:numId="29">
    <w:abstractNumId w:val="25"/>
  </w:num>
  <w:num w:numId="30">
    <w:abstractNumId w:val="21"/>
  </w:num>
  <w:num w:numId="31">
    <w:abstractNumId w:val="2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63F7"/>
    <w:rsid w:val="00076C94"/>
    <w:rsid w:val="00080258"/>
    <w:rsid w:val="00083A07"/>
    <w:rsid w:val="00084948"/>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0D15"/>
    <w:rsid w:val="00145904"/>
    <w:rsid w:val="00167840"/>
    <w:rsid w:val="001763CC"/>
    <w:rsid w:val="001800BD"/>
    <w:rsid w:val="00180803"/>
    <w:rsid w:val="00184CB5"/>
    <w:rsid w:val="0019373C"/>
    <w:rsid w:val="001A0E6E"/>
    <w:rsid w:val="001A250E"/>
    <w:rsid w:val="001B0AC5"/>
    <w:rsid w:val="001C5275"/>
    <w:rsid w:val="001D187A"/>
    <w:rsid w:val="001E4773"/>
    <w:rsid w:val="001E5983"/>
    <w:rsid w:val="001E66BD"/>
    <w:rsid w:val="001F0D23"/>
    <w:rsid w:val="001F2C2A"/>
    <w:rsid w:val="001F6318"/>
    <w:rsid w:val="0020020C"/>
    <w:rsid w:val="0020155A"/>
    <w:rsid w:val="002030DF"/>
    <w:rsid w:val="002051F1"/>
    <w:rsid w:val="00214062"/>
    <w:rsid w:val="00230930"/>
    <w:rsid w:val="002312DF"/>
    <w:rsid w:val="00233D0F"/>
    <w:rsid w:val="002356D5"/>
    <w:rsid w:val="0023762C"/>
    <w:rsid w:val="002422A9"/>
    <w:rsid w:val="00250CB1"/>
    <w:rsid w:val="00256B08"/>
    <w:rsid w:val="00263C83"/>
    <w:rsid w:val="00264327"/>
    <w:rsid w:val="0026692D"/>
    <w:rsid w:val="002801B9"/>
    <w:rsid w:val="00281DFC"/>
    <w:rsid w:val="002903FB"/>
    <w:rsid w:val="002A29EE"/>
    <w:rsid w:val="002A318E"/>
    <w:rsid w:val="002B2C96"/>
    <w:rsid w:val="002D0825"/>
    <w:rsid w:val="002D1AFC"/>
    <w:rsid w:val="002D3EA7"/>
    <w:rsid w:val="002D457E"/>
    <w:rsid w:val="002E1A84"/>
    <w:rsid w:val="002E4405"/>
    <w:rsid w:val="002E4904"/>
    <w:rsid w:val="002E6DAC"/>
    <w:rsid w:val="002F378E"/>
    <w:rsid w:val="00301CA8"/>
    <w:rsid w:val="00316A9C"/>
    <w:rsid w:val="00316C41"/>
    <w:rsid w:val="00323621"/>
    <w:rsid w:val="00325565"/>
    <w:rsid w:val="003270DD"/>
    <w:rsid w:val="00331966"/>
    <w:rsid w:val="00331BCC"/>
    <w:rsid w:val="00332B71"/>
    <w:rsid w:val="00332B81"/>
    <w:rsid w:val="00342BB1"/>
    <w:rsid w:val="003443FA"/>
    <w:rsid w:val="00345DBF"/>
    <w:rsid w:val="00351B94"/>
    <w:rsid w:val="003671EF"/>
    <w:rsid w:val="00370D9A"/>
    <w:rsid w:val="00375FD1"/>
    <w:rsid w:val="003800F3"/>
    <w:rsid w:val="003867E1"/>
    <w:rsid w:val="003964B5"/>
    <w:rsid w:val="003B7AF2"/>
    <w:rsid w:val="003C3463"/>
    <w:rsid w:val="003C5B02"/>
    <w:rsid w:val="003E326B"/>
    <w:rsid w:val="003E4BAA"/>
    <w:rsid w:val="003E6E57"/>
    <w:rsid w:val="003F0AF3"/>
    <w:rsid w:val="003F315D"/>
    <w:rsid w:val="00413C04"/>
    <w:rsid w:val="0041452B"/>
    <w:rsid w:val="00416812"/>
    <w:rsid w:val="00416CC1"/>
    <w:rsid w:val="004179E0"/>
    <w:rsid w:val="00425911"/>
    <w:rsid w:val="00431E65"/>
    <w:rsid w:val="004327A3"/>
    <w:rsid w:val="0044695A"/>
    <w:rsid w:val="004478A2"/>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23D0C"/>
    <w:rsid w:val="00531BE3"/>
    <w:rsid w:val="00531C3D"/>
    <w:rsid w:val="005369D7"/>
    <w:rsid w:val="00555F51"/>
    <w:rsid w:val="00564E3C"/>
    <w:rsid w:val="00575727"/>
    <w:rsid w:val="005773F7"/>
    <w:rsid w:val="005826E6"/>
    <w:rsid w:val="005845F6"/>
    <w:rsid w:val="0058734A"/>
    <w:rsid w:val="0059649C"/>
    <w:rsid w:val="005A2AEF"/>
    <w:rsid w:val="005B4A7B"/>
    <w:rsid w:val="005B6573"/>
    <w:rsid w:val="005B6E40"/>
    <w:rsid w:val="005C47E6"/>
    <w:rsid w:val="005E44FA"/>
    <w:rsid w:val="005F33CC"/>
    <w:rsid w:val="005F575E"/>
    <w:rsid w:val="00601986"/>
    <w:rsid w:val="00602B50"/>
    <w:rsid w:val="00603771"/>
    <w:rsid w:val="006123C0"/>
    <w:rsid w:val="0062578D"/>
    <w:rsid w:val="00630891"/>
    <w:rsid w:val="006451A5"/>
    <w:rsid w:val="006511A0"/>
    <w:rsid w:val="0065144E"/>
    <w:rsid w:val="0065719B"/>
    <w:rsid w:val="00666BE5"/>
    <w:rsid w:val="00671A91"/>
    <w:rsid w:val="00671B64"/>
    <w:rsid w:val="0068293A"/>
    <w:rsid w:val="00690BCC"/>
    <w:rsid w:val="0069467B"/>
    <w:rsid w:val="006A3D81"/>
    <w:rsid w:val="006A631C"/>
    <w:rsid w:val="006C0CCC"/>
    <w:rsid w:val="006D4135"/>
    <w:rsid w:val="006D4E80"/>
    <w:rsid w:val="006E7E0D"/>
    <w:rsid w:val="006F3A57"/>
    <w:rsid w:val="006F69D9"/>
    <w:rsid w:val="00700786"/>
    <w:rsid w:val="00702C7A"/>
    <w:rsid w:val="00705C1F"/>
    <w:rsid w:val="00707205"/>
    <w:rsid w:val="00720B4B"/>
    <w:rsid w:val="0073073B"/>
    <w:rsid w:val="00730743"/>
    <w:rsid w:val="00733EEE"/>
    <w:rsid w:val="00734B50"/>
    <w:rsid w:val="0074125F"/>
    <w:rsid w:val="00745E86"/>
    <w:rsid w:val="007513D2"/>
    <w:rsid w:val="007541F8"/>
    <w:rsid w:val="007610AB"/>
    <w:rsid w:val="00782C22"/>
    <w:rsid w:val="0078369E"/>
    <w:rsid w:val="00784BFB"/>
    <w:rsid w:val="007862E9"/>
    <w:rsid w:val="007967D9"/>
    <w:rsid w:val="007A0C17"/>
    <w:rsid w:val="007A0D4E"/>
    <w:rsid w:val="007A73AA"/>
    <w:rsid w:val="007A782D"/>
    <w:rsid w:val="007B4768"/>
    <w:rsid w:val="007C73EB"/>
    <w:rsid w:val="007D19D3"/>
    <w:rsid w:val="007D4253"/>
    <w:rsid w:val="007D4353"/>
    <w:rsid w:val="007D7081"/>
    <w:rsid w:val="007E1C77"/>
    <w:rsid w:val="007E4A2A"/>
    <w:rsid w:val="007E5374"/>
    <w:rsid w:val="007F2CEE"/>
    <w:rsid w:val="00801AE3"/>
    <w:rsid w:val="00802994"/>
    <w:rsid w:val="00803598"/>
    <w:rsid w:val="00803FB4"/>
    <w:rsid w:val="00822FE3"/>
    <w:rsid w:val="00827FA5"/>
    <w:rsid w:val="0083482F"/>
    <w:rsid w:val="008405A6"/>
    <w:rsid w:val="00855D89"/>
    <w:rsid w:val="00857815"/>
    <w:rsid w:val="0085799F"/>
    <w:rsid w:val="00860E2B"/>
    <w:rsid w:val="0086126F"/>
    <w:rsid w:val="008726E2"/>
    <w:rsid w:val="00874C99"/>
    <w:rsid w:val="0088276D"/>
    <w:rsid w:val="00882D04"/>
    <w:rsid w:val="008873AB"/>
    <w:rsid w:val="008905B0"/>
    <w:rsid w:val="00890761"/>
    <w:rsid w:val="008975B1"/>
    <w:rsid w:val="008A0BCB"/>
    <w:rsid w:val="008A0CB2"/>
    <w:rsid w:val="008D08A8"/>
    <w:rsid w:val="008D2433"/>
    <w:rsid w:val="008E5209"/>
    <w:rsid w:val="008F0494"/>
    <w:rsid w:val="008F1D6E"/>
    <w:rsid w:val="009160E1"/>
    <w:rsid w:val="0092465C"/>
    <w:rsid w:val="0092630B"/>
    <w:rsid w:val="009263AC"/>
    <w:rsid w:val="00934890"/>
    <w:rsid w:val="009352D5"/>
    <w:rsid w:val="00950021"/>
    <w:rsid w:val="0096110F"/>
    <w:rsid w:val="009768FB"/>
    <w:rsid w:val="00983315"/>
    <w:rsid w:val="00984A31"/>
    <w:rsid w:val="0099682A"/>
    <w:rsid w:val="009A182A"/>
    <w:rsid w:val="009A3BA4"/>
    <w:rsid w:val="009B3B2B"/>
    <w:rsid w:val="009B5E2C"/>
    <w:rsid w:val="009B795A"/>
    <w:rsid w:val="009C1D99"/>
    <w:rsid w:val="009C2A50"/>
    <w:rsid w:val="009C6FE2"/>
    <w:rsid w:val="009D58D9"/>
    <w:rsid w:val="009D7FB9"/>
    <w:rsid w:val="009E7DF9"/>
    <w:rsid w:val="009F12A7"/>
    <w:rsid w:val="009F257D"/>
    <w:rsid w:val="00A0130B"/>
    <w:rsid w:val="00A06B19"/>
    <w:rsid w:val="00A06C49"/>
    <w:rsid w:val="00A07932"/>
    <w:rsid w:val="00A16C5A"/>
    <w:rsid w:val="00A3027C"/>
    <w:rsid w:val="00A30BA4"/>
    <w:rsid w:val="00A342A7"/>
    <w:rsid w:val="00A349AA"/>
    <w:rsid w:val="00A41EEE"/>
    <w:rsid w:val="00A45C63"/>
    <w:rsid w:val="00A46A7F"/>
    <w:rsid w:val="00A5097A"/>
    <w:rsid w:val="00A564F9"/>
    <w:rsid w:val="00A609A3"/>
    <w:rsid w:val="00A62C84"/>
    <w:rsid w:val="00A65303"/>
    <w:rsid w:val="00A7110A"/>
    <w:rsid w:val="00A74CCC"/>
    <w:rsid w:val="00A82DED"/>
    <w:rsid w:val="00A84C9A"/>
    <w:rsid w:val="00AA2447"/>
    <w:rsid w:val="00AA3309"/>
    <w:rsid w:val="00AB5C90"/>
    <w:rsid w:val="00AC54AF"/>
    <w:rsid w:val="00AC620E"/>
    <w:rsid w:val="00AD0ADD"/>
    <w:rsid w:val="00AE0BD1"/>
    <w:rsid w:val="00AE4E69"/>
    <w:rsid w:val="00AE5C01"/>
    <w:rsid w:val="00B10612"/>
    <w:rsid w:val="00B20F0E"/>
    <w:rsid w:val="00B22ADF"/>
    <w:rsid w:val="00B24DE7"/>
    <w:rsid w:val="00B33E52"/>
    <w:rsid w:val="00B3544D"/>
    <w:rsid w:val="00B35EB8"/>
    <w:rsid w:val="00B435F5"/>
    <w:rsid w:val="00B44170"/>
    <w:rsid w:val="00B51B31"/>
    <w:rsid w:val="00B614DF"/>
    <w:rsid w:val="00B71DBF"/>
    <w:rsid w:val="00BA1B67"/>
    <w:rsid w:val="00BA222E"/>
    <w:rsid w:val="00BB05A3"/>
    <w:rsid w:val="00BB0885"/>
    <w:rsid w:val="00BB130C"/>
    <w:rsid w:val="00BC2055"/>
    <w:rsid w:val="00BC2B7A"/>
    <w:rsid w:val="00BC5E9C"/>
    <w:rsid w:val="00BD577F"/>
    <w:rsid w:val="00BE071B"/>
    <w:rsid w:val="00BE1BAD"/>
    <w:rsid w:val="00BE4329"/>
    <w:rsid w:val="00BE7166"/>
    <w:rsid w:val="00BF1C9C"/>
    <w:rsid w:val="00BF1F13"/>
    <w:rsid w:val="00BF25EA"/>
    <w:rsid w:val="00BF698D"/>
    <w:rsid w:val="00C04B92"/>
    <w:rsid w:val="00C103A7"/>
    <w:rsid w:val="00C17070"/>
    <w:rsid w:val="00C2107C"/>
    <w:rsid w:val="00C2167D"/>
    <w:rsid w:val="00C30726"/>
    <w:rsid w:val="00C54827"/>
    <w:rsid w:val="00C66011"/>
    <w:rsid w:val="00C7196F"/>
    <w:rsid w:val="00C759BF"/>
    <w:rsid w:val="00C75A07"/>
    <w:rsid w:val="00C828B4"/>
    <w:rsid w:val="00C87ADB"/>
    <w:rsid w:val="00C9043F"/>
    <w:rsid w:val="00C913B4"/>
    <w:rsid w:val="00C94C02"/>
    <w:rsid w:val="00C96DA9"/>
    <w:rsid w:val="00CA02AC"/>
    <w:rsid w:val="00CA10FD"/>
    <w:rsid w:val="00CB072B"/>
    <w:rsid w:val="00CC06EA"/>
    <w:rsid w:val="00CC489F"/>
    <w:rsid w:val="00CD34D2"/>
    <w:rsid w:val="00CE41B7"/>
    <w:rsid w:val="00CF511B"/>
    <w:rsid w:val="00CF57AE"/>
    <w:rsid w:val="00D01D9D"/>
    <w:rsid w:val="00D10D79"/>
    <w:rsid w:val="00D1436F"/>
    <w:rsid w:val="00D15AF3"/>
    <w:rsid w:val="00D16047"/>
    <w:rsid w:val="00D2217D"/>
    <w:rsid w:val="00D31A79"/>
    <w:rsid w:val="00D33ED2"/>
    <w:rsid w:val="00D54A9B"/>
    <w:rsid w:val="00D557F6"/>
    <w:rsid w:val="00D617BA"/>
    <w:rsid w:val="00D63AE8"/>
    <w:rsid w:val="00D7346F"/>
    <w:rsid w:val="00D738CD"/>
    <w:rsid w:val="00D76389"/>
    <w:rsid w:val="00D77276"/>
    <w:rsid w:val="00D8309E"/>
    <w:rsid w:val="00D92DBC"/>
    <w:rsid w:val="00D964AD"/>
    <w:rsid w:val="00DA1D55"/>
    <w:rsid w:val="00DA4574"/>
    <w:rsid w:val="00DA6B5F"/>
    <w:rsid w:val="00DA6D7B"/>
    <w:rsid w:val="00DB29CD"/>
    <w:rsid w:val="00DB7D6F"/>
    <w:rsid w:val="00DD1B80"/>
    <w:rsid w:val="00DD2500"/>
    <w:rsid w:val="00DE333B"/>
    <w:rsid w:val="00DE3EC0"/>
    <w:rsid w:val="00E0038A"/>
    <w:rsid w:val="00E01194"/>
    <w:rsid w:val="00E02A2F"/>
    <w:rsid w:val="00E055EA"/>
    <w:rsid w:val="00E107F2"/>
    <w:rsid w:val="00E1147B"/>
    <w:rsid w:val="00E1388F"/>
    <w:rsid w:val="00E236DA"/>
    <w:rsid w:val="00E3181C"/>
    <w:rsid w:val="00E427F4"/>
    <w:rsid w:val="00E474E8"/>
    <w:rsid w:val="00E4783D"/>
    <w:rsid w:val="00E529A2"/>
    <w:rsid w:val="00E55352"/>
    <w:rsid w:val="00E66462"/>
    <w:rsid w:val="00E85EDC"/>
    <w:rsid w:val="00E91A09"/>
    <w:rsid w:val="00E95051"/>
    <w:rsid w:val="00EA4287"/>
    <w:rsid w:val="00EB2CDE"/>
    <w:rsid w:val="00EB345E"/>
    <w:rsid w:val="00EC21F6"/>
    <w:rsid w:val="00EC3814"/>
    <w:rsid w:val="00EC588F"/>
    <w:rsid w:val="00EC63B6"/>
    <w:rsid w:val="00ED2843"/>
    <w:rsid w:val="00EE32E3"/>
    <w:rsid w:val="00F0320D"/>
    <w:rsid w:val="00F165BA"/>
    <w:rsid w:val="00F16821"/>
    <w:rsid w:val="00F24D1A"/>
    <w:rsid w:val="00F2576D"/>
    <w:rsid w:val="00F26D0B"/>
    <w:rsid w:val="00F33E30"/>
    <w:rsid w:val="00F36ECC"/>
    <w:rsid w:val="00F44A30"/>
    <w:rsid w:val="00F51A08"/>
    <w:rsid w:val="00F75E9D"/>
    <w:rsid w:val="00F8367D"/>
    <w:rsid w:val="00F9079B"/>
    <w:rsid w:val="00F963E2"/>
    <w:rsid w:val="00FA1BB9"/>
    <w:rsid w:val="00FA7D41"/>
    <w:rsid w:val="00FB0820"/>
    <w:rsid w:val="00FB1BFB"/>
    <w:rsid w:val="00FB1F72"/>
    <w:rsid w:val="00FC30E6"/>
    <w:rsid w:val="00FC6F94"/>
    <w:rsid w:val="00FD34A1"/>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4F4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B4417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transparenciasinaloa.gob.mx/historico-indicadores-y-evaluaciones/" TargetMode="External"/><Relationship Id="rId4" Type="http://schemas.microsoft.com/office/2007/relationships/stylesWithEffects" Target="stylesWithEffects.xml"/><Relationship Id="rId9" Type="http://schemas.openxmlformats.org/officeDocument/2006/relationships/hyperlink" Target="http://ss.transparenciasinaloa.gob.mx/historico-indicadores-y-evaluacion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29EE1-75D3-46D3-9A98-4255E8901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TotalTime>
  <Pages>10</Pages>
  <Words>3631</Words>
  <Characters>19976</Characters>
  <Application>Microsoft Office Word</Application>
  <DocSecurity>0</DocSecurity>
  <Lines>166</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CLSinaloa</cp:lastModifiedBy>
  <cp:revision>21</cp:revision>
  <cp:lastPrinted>2020-12-11T20:15:00Z</cp:lastPrinted>
  <dcterms:created xsi:type="dcterms:W3CDTF">2019-06-13T22:04:00Z</dcterms:created>
  <dcterms:modified xsi:type="dcterms:W3CDTF">2020-12-11T20:16:00Z</dcterms:modified>
</cp:coreProperties>
</file>